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493F2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中山大学附属第一医院广西医院</w:t>
      </w:r>
    </w:p>
    <w:p w14:paraId="149E7C1B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劳务人员管理服务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采购需求</w:t>
      </w:r>
    </w:p>
    <w:p w14:paraId="6C3123E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555F5FC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</w:t>
      </w:r>
    </w:p>
    <w:p w14:paraId="0A7B43D7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采购单位：中山大学附属第一医院广西医院</w:t>
      </w:r>
    </w:p>
    <w:p w14:paraId="029D2D4F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劳务人员管理服务</w:t>
      </w:r>
    </w:p>
    <w:p w14:paraId="02B8F8B1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项目地点：医院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指定地点</w:t>
      </w:r>
    </w:p>
    <w:p w14:paraId="7E5CEC94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采购方式：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院内磋商</w:t>
      </w:r>
    </w:p>
    <w:p w14:paraId="4D2ACC10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采购需求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050"/>
        <w:gridCol w:w="1684"/>
        <w:gridCol w:w="1791"/>
        <w:gridCol w:w="2204"/>
      </w:tblGrid>
      <w:tr w14:paraId="2427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D18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6E1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项目预算金额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F10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合同期限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3DE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限价要求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3F85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计划招聘人数</w:t>
            </w:r>
          </w:p>
        </w:tc>
      </w:tr>
      <w:tr w14:paraId="0077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5F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劳务人员管理服务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889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2.88万元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0A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C9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元/人/月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084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20人</w:t>
            </w:r>
          </w:p>
        </w:tc>
      </w:tr>
    </w:tbl>
    <w:p w14:paraId="1F096C35">
      <w:pPr>
        <w:pStyle w:val="19"/>
        <w:shd w:val="clea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本项目报价仅为管理服务费，人员工资福利为代发，不包含在此次报价内。</w:t>
      </w:r>
    </w:p>
    <w:p w14:paraId="4F89BA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合</w:t>
      </w:r>
      <w:r>
        <w:rPr>
          <w:rFonts w:hint="eastAsia" w:ascii="仿宋" w:hAnsi="仿宋" w:eastAsia="仿宋" w:cs="仿宋"/>
          <w:sz w:val="28"/>
          <w:szCs w:val="28"/>
        </w:rPr>
        <w:t>同期限：自合同生效之日起3年，具体起始时间以双方签署合同内容为准。</w:t>
      </w:r>
    </w:p>
    <w:p w14:paraId="65A86641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二、项目具体要求：</w:t>
      </w:r>
    </w:p>
    <w:p w14:paraId="54AD274A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（一）管理方式</w:t>
      </w:r>
    </w:p>
    <w:p w14:paraId="00613D78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1、医院对临时辅助人员采用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劳务人员管理服务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的用工方式，由一家具有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相应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资质的公司承担医院的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本项目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管理服务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。</w:t>
      </w:r>
    </w:p>
    <w:p w14:paraId="0A1CAE05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2、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为用人单位，医院为用工单位。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须与医院签订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人员管理服务协议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应当履行对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服务人员的各项法定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义务。</w:t>
      </w:r>
    </w:p>
    <w:p w14:paraId="0D3F04C0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）人才招聘服务</w:t>
      </w:r>
    </w:p>
    <w:p w14:paraId="01EC105F">
      <w:pPr>
        <w:pStyle w:val="19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协助医院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进行劳务人员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的招聘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面试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工作，根据医院所提的用人需求，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协助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在相关招聘网上公布信息。</w:t>
      </w:r>
    </w:p>
    <w:p w14:paraId="2623DA58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）用工服务</w:t>
      </w:r>
    </w:p>
    <w:p w14:paraId="6278B32F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1、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要做好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的背景调查和职业能力考核工作，履行相关告知义务和进行劳动安全教育方面的培训。</w:t>
      </w:r>
    </w:p>
    <w:p w14:paraId="40162C42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2、确定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人选后，按医院要求进行健康体检。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须与体检合格的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签订劳动合同以及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协议（或委托医院办理签订手续），用工期间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不得将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再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安排至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其他用人单位。</w:t>
      </w:r>
    </w:p>
    <w:p w14:paraId="1ADFD374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3、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服务期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满或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不能胜任医院安排的工作岗位的，医院可以将其退回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；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本人提出解除或终止派遣协议的，由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办理解除或终止手续。</w:t>
      </w:r>
    </w:p>
    <w:p w14:paraId="5E55CE1B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4、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违反医院规定，按医院规定需解除工作关系的，由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办理解除合同手续。</w:t>
      </w:r>
    </w:p>
    <w:p w14:paraId="54687C49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5、如有超过国家法定退休年龄的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按规定做好该人员的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服务安排及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解除服务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相关工作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。</w:t>
      </w:r>
    </w:p>
    <w:p w14:paraId="0D98D8EF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）咨询、培训服务</w:t>
      </w:r>
    </w:p>
    <w:p w14:paraId="7EF9F2C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响应人应为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提供劳动法律政策方面的咨询，提供包括岗前培训在内的相关培训服务（包含职业道德、外派员工手册、劳动安全教育等）。协助医院制定有关管理制度。</w:t>
      </w:r>
    </w:p>
    <w:p w14:paraId="08AF6446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）劳动纠纷处理</w:t>
      </w:r>
    </w:p>
    <w:p w14:paraId="08566A0B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对劳动报酬等有异议或发生纠纷的，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做好解释工作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纠纷解决。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提起工作相关仲裁或诉讼的，由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负责处理。</w:t>
      </w:r>
    </w:p>
    <w:p w14:paraId="7CFD8112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）档案服务</w:t>
      </w:r>
    </w:p>
    <w:p w14:paraId="76970355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1、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须为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建立用工档案。</w:t>
      </w:r>
    </w:p>
    <w:p w14:paraId="6D6D1456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2、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须按照国家干部人事档案管理规定，负责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的干部人事档案管理，进行干部人事档案的调档、转移和有关材料的归档工作。</w:t>
      </w:r>
    </w:p>
    <w:p w14:paraId="6EB6889F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根据医院需要提供干部人事档案的查档、借阅工作。</w:t>
      </w:r>
    </w:p>
    <w:p w14:paraId="5ABD0170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）社会保险和住房公积金</w:t>
      </w:r>
    </w:p>
    <w:p w14:paraId="56FDD79E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1、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必须按照法律规定为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缴纳社会保险和住房公积金。</w:t>
      </w:r>
    </w:p>
    <w:p w14:paraId="6656C2EB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2、新增、减少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进行社会保险和住房公积金的申报和减少。</w:t>
      </w:r>
    </w:p>
    <w:p w14:paraId="52EE6F61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3、社保和公积金征缴机构要求调整社会保险和住房公积金基数时，由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进行基数核算，经医院审核后，由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报经办机构进行社会保险和住房公积金基数调整和补缴工作。</w:t>
      </w:r>
    </w:p>
    <w:p w14:paraId="51C2387D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eastAsia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4、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发生工伤，经医院初步审核符合申报条件的，由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进行申报以及后续报销等事宜。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协助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办理工亡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员善后事务处理，理赔谈判与费用申领等手续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。</w:t>
      </w:r>
    </w:p>
    <w:p w14:paraId="533D788B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5、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有生育情况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，由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进行申报以及后续报销等事宜。</w:t>
      </w:r>
    </w:p>
    <w:p w14:paraId="1DFE0D7D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6、其他社保待遇的申报和公积金的提取等，由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负责或为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提供协助。</w:t>
      </w:r>
    </w:p>
    <w:p w14:paraId="33E31980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）专业技术职务评聘服务</w:t>
      </w:r>
    </w:p>
    <w:p w14:paraId="62A16A2A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符合专业技术职务评聘条件，其本人向医院提出申请，由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书面委托医院进行中级以下职称的聘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任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工作。</w:t>
      </w:r>
    </w:p>
    <w:p w14:paraId="725D82F2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（九）退休办理服务</w:t>
      </w:r>
    </w:p>
    <w:p w14:paraId="18312F92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符合退休条件，派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为其办理在退休手续。</w:t>
      </w:r>
    </w:p>
    <w:p w14:paraId="719BC642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（十）为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服务</w:t>
      </w:r>
    </w:p>
    <w:p w14:paraId="71F47A7C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1、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有合理诉求需开具各类证明的，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供必要的协助。</w:t>
      </w:r>
    </w:p>
    <w:p w14:paraId="51C3D7EF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2、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符合政府各类补助情形的，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要积极进行申报或提供必要的协助。</w:t>
      </w:r>
    </w:p>
    <w:p w14:paraId="05A4F37B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（十一）费用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lang w:eastAsia="zh-CN"/>
        </w:rPr>
        <w:t>管理与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结算</w:t>
      </w:r>
    </w:p>
    <w:p w14:paraId="59127CFA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1、劳务人员的工资及福利待遇等标准由医院制定，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按医院制定的工资标准及福利待遇如数按时足额发放给劳务人员。</w:t>
      </w:r>
    </w:p>
    <w:p w14:paraId="305FC319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应代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缴纳自治区规定的社会保险费用（包括基本养老、工伤、失业、医疗保险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、大额医疗保险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）及住房公积金。</w:t>
      </w:r>
    </w:p>
    <w:p w14:paraId="28D03B77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个人应当承担的“五险一金”、个人所得税，按照国家现行法律法规的规定，由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负责代扣代缴。</w:t>
      </w:r>
    </w:p>
    <w:p w14:paraId="0180D62C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应于每月最后一日前向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医院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提交当月的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服务管理费用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明细，交由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人力资源部门、财务部门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审核，费用明细应当包括人员人数、工资标准、福利待遇、社会保险、劳务管理费用等内容。</w:t>
      </w:r>
    </w:p>
    <w:p w14:paraId="6C59A18E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、医院向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按月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支付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服务管理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费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（包含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劳务人员基本工资、社保、公积金、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福利待遇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劳务管理费用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），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不得向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收取任何费用。</w:t>
      </w:r>
    </w:p>
    <w:p w14:paraId="2F6B0A26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lang w:val="en-US" w:eastAsia="zh-CN" w:bidi="ar-SA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挪用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劳务人员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工资、社会保险费用、住房公积金费用和其他福利费用的，除承担由此引发的一切法律责任外，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医院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有权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终止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服务合同。</w:t>
      </w:r>
    </w:p>
    <w:p w14:paraId="4B6ADFE2">
      <w:pPr>
        <w:shd w:val="clear"/>
        <w:adjustRightInd w:val="0"/>
        <w:snapToGrid w:val="0"/>
        <w:spacing w:line="360" w:lineRule="auto"/>
        <w:ind w:left="105" w:leftChars="50" w:firstLine="422" w:firstLineChars="15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</w:rPr>
        <w:t>（十二）服务交接</w:t>
      </w:r>
    </w:p>
    <w:p w14:paraId="4E0585E2">
      <w:pPr>
        <w:shd w:val="clear"/>
        <w:adjustRightInd w:val="0"/>
        <w:snapToGrid w:val="0"/>
        <w:spacing w:line="360" w:lineRule="auto"/>
        <w:ind w:left="105" w:leftChars="50" w:firstLine="420" w:firstLineChars="15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1、工作交接均采用书面方式，遇紧急情况可通过电子材料等方式先行办理，后补书面材料。</w:t>
      </w:r>
    </w:p>
    <w:p w14:paraId="28DE6AC2">
      <w:pPr>
        <w:shd w:val="clear"/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2、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响应人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须安排一名服务专员负责医院的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劳务人员管理服务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工作，所有服务项目均通过该专员办理。服务专员发生变更，要及时通知医院并做好交接工作。</w:t>
      </w:r>
    </w:p>
    <w:p w14:paraId="5A40B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2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资质要求</w:t>
      </w:r>
    </w:p>
    <w:p w14:paraId="4FC6CD7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满足《中华人民共和国政府采购法》第二十二条规定；参加政府采购活动前三年内，在经营活动中没有重大违法记录。投标人无以下不良行为：在公开网站上能查到的被财政部或广西财政厅处理（或处罚）而处于暂停政府采购资格期的或处于暂停承接业务资格期的；或被国家级、广西区级、南宁市级行业主管部门处罚处于暂停承接业务资格期的；或被南宁市政府采购监管部门列入不良行为还在公示期内的或者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处于暂停政府采购资格期的；或被“信用中国”、中国政府采购网列入失信被执行人、重大税收违法失信主体、政府采购严重违法失信行为记录名单的。</w:t>
      </w:r>
    </w:p>
    <w:p w14:paraId="4F2962B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特殊资质要求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具有有效的劳务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服务相关</w:t>
      </w:r>
      <w:r>
        <w:rPr>
          <w:rFonts w:hint="eastAsia" w:ascii="仿宋" w:hAnsi="仿宋" w:eastAsia="仿宋" w:cs="仿宋"/>
          <w:sz w:val="28"/>
          <w:szCs w:val="28"/>
        </w:rPr>
        <w:t>经营许可证、人力资源服务许可证。</w:t>
      </w:r>
    </w:p>
    <w:bookmarkEnd w:id="0"/>
    <w:p w14:paraId="456C27F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本项目不接受联合体报名。</w:t>
      </w:r>
    </w:p>
    <w:p w14:paraId="40FDF9BC">
      <w:pPr>
        <w:numPr>
          <w:ilvl w:val="0"/>
          <w:numId w:val="4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中山大学附属第一医院广西医院劳务人员管理服务项目评分标准</w:t>
      </w:r>
    </w:p>
    <w:tbl>
      <w:tblPr>
        <w:tblStyle w:val="1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55"/>
        <w:gridCol w:w="1615"/>
        <w:gridCol w:w="6405"/>
      </w:tblGrid>
      <w:tr w14:paraId="6402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C169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49EB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8DAA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评分标准</w:t>
            </w:r>
          </w:p>
        </w:tc>
      </w:tr>
      <w:tr w14:paraId="6E16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3255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07F1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价格分</w:t>
            </w:r>
          </w:p>
          <w:p w14:paraId="5F1CCD2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9C3A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报价</w:t>
            </w:r>
          </w:p>
          <w:p w14:paraId="0B962758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AF99">
            <w:pPr>
              <w:shd w:val="clear" w:color="auto" w:fill="auto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价格分采用低价优先法计算，即满足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要求且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价格最低的报价为评标基准价，其价格分为满分。其他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的价格分按照下列公式计算：</w:t>
            </w:r>
          </w:p>
          <w:p w14:paraId="026023D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价格分=（评标基准价/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报价）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×30。</w:t>
            </w:r>
          </w:p>
        </w:tc>
      </w:tr>
      <w:tr w14:paraId="40AF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20F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3E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8"/>
                <w:sz w:val="24"/>
                <w:szCs w:val="24"/>
                <w:highlight w:val="none"/>
              </w:rPr>
              <w:t>技术分（满分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8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8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40D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项目实施方案分（满分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9A9D"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 xml:space="preserve">根据供应商项目实施方案（内容可包含但不限于①项目需求理解、②拟投入人员安排或人员招聘方案、③项目组织机构安排、④项目安全保障措施、⑤人员培训管理、⑥项目应急处理预案）进行独立评分。 </w:t>
            </w:r>
          </w:p>
          <w:p w14:paraId="493B79EF"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一档 (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：供应商实施方案中包含有上述1-2项内容，无明显错误或无关内容；</w:t>
            </w:r>
          </w:p>
          <w:p w14:paraId="46C29D34"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二档 (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 xml:space="preserve">：在满足一档的基础上，供应商提供的实施方案中包含有上述3-4项内容且描述详细。 </w:t>
            </w:r>
          </w:p>
          <w:p w14:paraId="30E40495"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三档 (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：在满足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档的基础上，供应商提供的实施方案中包含有上述5-6项内容且描述详细。</w:t>
            </w:r>
          </w:p>
          <w:p w14:paraId="05714D4E">
            <w:pPr>
              <w:pStyle w:val="21"/>
              <w:spacing w:before="0" w:beforeAutospacing="0" w:after="0" w:afterAutospacing="0" w:line="36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四档 (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：在满足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档的基础上，供应商提供的实施方案中包含有上述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项或以上内容且描述详细，全面、系统、科学，具体可行，实施方案完善、明确具体。</w:t>
            </w:r>
          </w:p>
          <w:p w14:paraId="30322B2A">
            <w:pPr>
              <w:pStyle w:val="21"/>
              <w:spacing w:before="0" w:beforeAutospacing="0" w:after="0" w:afterAutospacing="0" w:line="360" w:lineRule="exact"/>
              <w:ind w:left="0" w:leftChars="0"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注：未提供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或未达到一档标准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，本项不予计分。</w:t>
            </w:r>
          </w:p>
        </w:tc>
      </w:tr>
      <w:tr w14:paraId="6747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E4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AD9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18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48A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制度管理措施分（满分10分）</w:t>
            </w:r>
          </w:p>
          <w:p w14:paraId="5A34A614">
            <w:pPr>
              <w:pStyle w:val="2"/>
              <w:keepNext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A2AC">
            <w:pPr>
              <w:ind w:firstLine="480" w:firstLineChars="20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从劳务人员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管理、劳动合同、社保缴纳、档案管理、客户服务、保密等制度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管理措施方面评价。</w:t>
            </w:r>
          </w:p>
          <w:p w14:paraId="7930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（3分）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所提供管理措施简略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管理制度内容较为简单，未考虑实际需求，基本没有针对性</w:t>
            </w:r>
            <w:r>
              <w:rPr>
                <w:rFonts w:hint="eastAsia" w:ascii="仿宋_GB2312" w:hAnsi="仿宋_GB2312" w:eastAsia="仿宋_GB2312" w:cs="仿宋_GB2312"/>
                <w:color w:val="0F1115"/>
                <w:sz w:val="24"/>
                <w:szCs w:val="24"/>
                <w:shd w:val="clear" w:color="auto" w:fill="FFFFFF"/>
              </w:rPr>
              <w:t>。</w:t>
            </w:r>
          </w:p>
          <w:p w14:paraId="2BC8E0D8">
            <w:pPr>
              <w:ind w:firstLine="480" w:firstLineChars="20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（6分）：所提供管理措施基本满足项目需求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，管理制度内容基本完整、有考虑实际需求，针对性一般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p w14:paraId="11617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三档（10分）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：所提供的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管理措施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非常贴合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需求，管理制度内容详尽、条理清晰、严谨合理、充分地考虑了实际需求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充分地考虑了实际需求，有很强的针对性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190FA1BE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注：未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体现相关管理措施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或未达到一档标准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，本项不予计分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2EA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7C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E1F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18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825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培训方案分</w:t>
            </w:r>
          </w:p>
          <w:p w14:paraId="20514A6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F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主要从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各类人员的培训的方案计划、方式、目标及言行规范、仪容仪表、公众形象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等方面进行评定：</w:t>
            </w:r>
          </w:p>
          <w:p w14:paraId="16186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一档（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分）：仅提供有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培训方案，描述简单。</w:t>
            </w:r>
          </w:p>
          <w:p w14:paraId="27670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二档（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培训方案详细，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培训方案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内容基本完整、有考虑实际需求。</w:t>
            </w:r>
          </w:p>
          <w:p w14:paraId="4D6D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分）：设有专业机制或专业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部门，方法高效、方案内容完善；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培训方案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内容详尽、条理清晰、严谨合理、充分地考虑了实际需求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，具有较强的针对性。</w:t>
            </w:r>
          </w:p>
          <w:p w14:paraId="32D71237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注：未提供人员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培训方案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或未达到一档标准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，本项不予计分。</w:t>
            </w:r>
          </w:p>
        </w:tc>
      </w:tr>
      <w:tr w14:paraId="0CD9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DB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377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18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0C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服务质量保障措施分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分）</w:t>
            </w:r>
          </w:p>
          <w:p w14:paraId="7AE14E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A6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劳务纠纷应急预案、临时人员发生工伤、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突发性缺勤等各类紧急事件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处理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等方面进行评定：</w:t>
            </w:r>
          </w:p>
          <w:p w14:paraId="2361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一档（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分）：针对项目执行中可能出现的应急突发情况，能提出合理化措施，但内容较简单；</w:t>
            </w:r>
          </w:p>
          <w:p w14:paraId="7C9B4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二档（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分）：针对项目执行中可能出现的应急突发情况，能提出针对性、操作性较强的措施，内容较详细，基本解决问题；</w:t>
            </w:r>
          </w:p>
          <w:p w14:paraId="7548C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5" w:firstLineChars="198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分）：在项目执行中能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预见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可能出现的应急突发情况，能提出预见性、针对性、操作性强的措施，能切合采购人的实际情况，利于服务质量的保证，内容全面，能有效快速很好解决突发问题。</w:t>
            </w:r>
          </w:p>
          <w:p w14:paraId="2D2D3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5" w:firstLineChars="198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注：未提供服务质量保障措施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或未达到一档标准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，本项不予计分。</w:t>
            </w:r>
          </w:p>
        </w:tc>
      </w:tr>
      <w:tr w14:paraId="1961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37EA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DA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商务分</w:t>
            </w:r>
          </w:p>
          <w:p w14:paraId="69BEA2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满分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46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信誉分</w:t>
            </w:r>
          </w:p>
          <w:p w14:paraId="4E2DDB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分）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BDD68"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供应商具有有效的质量管理体系认证证书、职业健康安全管理体系认证证书，每一项得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分，满分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 w:bidi="ar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提供证书复印件并加盖供应商公章）。</w:t>
            </w:r>
          </w:p>
        </w:tc>
      </w:tr>
      <w:tr w14:paraId="334E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AB66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54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83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服务团队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 w:bidi="ar"/>
              </w:rPr>
              <w:t>（满分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D0843">
            <w:pPr>
              <w:keepNext w:val="0"/>
              <w:keepLines w:val="0"/>
              <w:pageBreakBefore w:val="0"/>
              <w:widowControl w:val="0"/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项目负责人（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分）</w:t>
            </w:r>
          </w:p>
          <w:p w14:paraId="121422CD"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响应人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拟为本项目派出的项目负责人拥有企业人力资源管理师一级证书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的得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2分；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同时具有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人力资源服务资格证书、劳动关系协调员证书的，每有一个证书得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分，满分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。本项满分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4分，未提供或未按要求提供的不得分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。 </w:t>
            </w:r>
          </w:p>
          <w:p w14:paraId="09463800">
            <w:pPr>
              <w:keepNext w:val="0"/>
              <w:keepLines w:val="0"/>
              <w:pageBreakBefore w:val="0"/>
              <w:widowControl w:val="0"/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项目组其他成员（不包括项目负责人）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28AE624E">
            <w:pPr>
              <w:keepNext w:val="0"/>
              <w:keepLines w:val="0"/>
              <w:pageBreakBefore w:val="0"/>
              <w:widowControl w:val="0"/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具有企业人力资源管理师二级（含以上）证书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劳动关系协调员证书的，每有1名得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未提供或未按要求提供的不得分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；</w:t>
            </w:r>
          </w:p>
          <w:p w14:paraId="634DBF35">
            <w:pPr>
              <w:pStyle w:val="2"/>
              <w:keepNext w:val="0"/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3.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团队架构合理，职责分工明确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2分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 w14:paraId="17E47AB2">
            <w:pPr>
              <w:spacing w:line="36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本项评分项均需提供项目组人员身份证复印件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响应人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为其缴费的近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个月社保参保证明；同一人员同时具备多种专业证书或资质证书的，不重复计分。</w:t>
            </w:r>
          </w:p>
        </w:tc>
      </w:tr>
      <w:tr w14:paraId="48FC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DCC1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AA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E80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分）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AEE4">
            <w:pPr>
              <w:pStyle w:val="22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年1月1日至今承担过与本项目类似的劳务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人员管理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服务，每有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项得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响应文件中提供有效的中标通知书或合同复印件，否则不予以计分）。</w:t>
            </w:r>
          </w:p>
        </w:tc>
      </w:tr>
    </w:tbl>
    <w:p w14:paraId="50500839">
      <w:pPr>
        <w:numPr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D0173EE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afterLines="0"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270" w:right="1361" w:bottom="115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F26126-2A5E-4E31-89FB-743696E636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CAEC4C4-5D6B-45A2-B272-ECDFA182B5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6BB25D-C414-4C48-8ECD-BAB2D40236F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04F31D6-85F4-48B8-9E88-5FF28D6A94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6FB624"/>
    <w:multiLevelType w:val="singleLevel"/>
    <w:tmpl w:val="FD6FB62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A216F0"/>
    <w:multiLevelType w:val="multilevel"/>
    <w:tmpl w:val="1DA216F0"/>
    <w:lvl w:ilvl="0" w:tentative="0">
      <w:start w:val="1"/>
      <w:numFmt w:val="chineseCountingThousand"/>
      <w:pStyle w:val="6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3DDBE85"/>
    <w:multiLevelType w:val="singleLevel"/>
    <w:tmpl w:val="53DDBE8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8A3DF22"/>
    <w:multiLevelType w:val="singleLevel"/>
    <w:tmpl w:val="78A3DF2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jgwOWJiYmZkMjQ3NjI5Y2JmYjFjMmI4MWIxYTMifQ=="/>
  </w:docVars>
  <w:rsids>
    <w:rsidRoot w:val="002252C7"/>
    <w:rsid w:val="00176349"/>
    <w:rsid w:val="001E13AD"/>
    <w:rsid w:val="002252C7"/>
    <w:rsid w:val="00B5504D"/>
    <w:rsid w:val="00B74D7D"/>
    <w:rsid w:val="00BE2243"/>
    <w:rsid w:val="00E92B30"/>
    <w:rsid w:val="013B2928"/>
    <w:rsid w:val="030577EF"/>
    <w:rsid w:val="031C444F"/>
    <w:rsid w:val="03537FA7"/>
    <w:rsid w:val="03906A9D"/>
    <w:rsid w:val="03CD01D4"/>
    <w:rsid w:val="046C750A"/>
    <w:rsid w:val="04D04473"/>
    <w:rsid w:val="04FB0B17"/>
    <w:rsid w:val="057940B5"/>
    <w:rsid w:val="05954730"/>
    <w:rsid w:val="05A04C5A"/>
    <w:rsid w:val="05AB3F20"/>
    <w:rsid w:val="05C92C5C"/>
    <w:rsid w:val="05F41565"/>
    <w:rsid w:val="068F128E"/>
    <w:rsid w:val="06A411DD"/>
    <w:rsid w:val="070C6D79"/>
    <w:rsid w:val="07DD1B95"/>
    <w:rsid w:val="08075794"/>
    <w:rsid w:val="095742E5"/>
    <w:rsid w:val="0A0F696E"/>
    <w:rsid w:val="0B7F228E"/>
    <w:rsid w:val="0BAB6B6A"/>
    <w:rsid w:val="0C601702"/>
    <w:rsid w:val="0C9B783E"/>
    <w:rsid w:val="0DAD4E1B"/>
    <w:rsid w:val="0DCB34F3"/>
    <w:rsid w:val="0E3E79DA"/>
    <w:rsid w:val="0F4470B9"/>
    <w:rsid w:val="0FA4224E"/>
    <w:rsid w:val="0FBA381F"/>
    <w:rsid w:val="101120A4"/>
    <w:rsid w:val="10D972EF"/>
    <w:rsid w:val="113849FC"/>
    <w:rsid w:val="11516ED8"/>
    <w:rsid w:val="12333232"/>
    <w:rsid w:val="12791770"/>
    <w:rsid w:val="12843C71"/>
    <w:rsid w:val="12C02EFB"/>
    <w:rsid w:val="132B58B6"/>
    <w:rsid w:val="132C26C8"/>
    <w:rsid w:val="137F4B64"/>
    <w:rsid w:val="13B011C1"/>
    <w:rsid w:val="13D054DE"/>
    <w:rsid w:val="14CA62B3"/>
    <w:rsid w:val="15A77920"/>
    <w:rsid w:val="15C3209C"/>
    <w:rsid w:val="171E3027"/>
    <w:rsid w:val="17571954"/>
    <w:rsid w:val="176936B2"/>
    <w:rsid w:val="177366C3"/>
    <w:rsid w:val="179901BE"/>
    <w:rsid w:val="1893346E"/>
    <w:rsid w:val="18ED07C2"/>
    <w:rsid w:val="1A3E4CED"/>
    <w:rsid w:val="1AA1044A"/>
    <w:rsid w:val="1B370CA2"/>
    <w:rsid w:val="1B8D12EC"/>
    <w:rsid w:val="1BAA6FA3"/>
    <w:rsid w:val="1BEF4851"/>
    <w:rsid w:val="1C366EC8"/>
    <w:rsid w:val="1D51609D"/>
    <w:rsid w:val="1DF12DF5"/>
    <w:rsid w:val="1F562C3F"/>
    <w:rsid w:val="1F647304"/>
    <w:rsid w:val="2040159E"/>
    <w:rsid w:val="20816E6E"/>
    <w:rsid w:val="216574DC"/>
    <w:rsid w:val="21BA76AF"/>
    <w:rsid w:val="223D4817"/>
    <w:rsid w:val="225925E4"/>
    <w:rsid w:val="22841A75"/>
    <w:rsid w:val="23F24EDE"/>
    <w:rsid w:val="253F05F7"/>
    <w:rsid w:val="25444EC9"/>
    <w:rsid w:val="25897AC4"/>
    <w:rsid w:val="26093086"/>
    <w:rsid w:val="265D1998"/>
    <w:rsid w:val="26E8081A"/>
    <w:rsid w:val="282D54A7"/>
    <w:rsid w:val="28D76D98"/>
    <w:rsid w:val="29553353"/>
    <w:rsid w:val="2987431B"/>
    <w:rsid w:val="2AC01F46"/>
    <w:rsid w:val="2BF660B0"/>
    <w:rsid w:val="2DFE6F81"/>
    <w:rsid w:val="2E051CB2"/>
    <w:rsid w:val="2E1168A9"/>
    <w:rsid w:val="2EEB434C"/>
    <w:rsid w:val="31A812D2"/>
    <w:rsid w:val="32F06D39"/>
    <w:rsid w:val="3317670F"/>
    <w:rsid w:val="33B121D2"/>
    <w:rsid w:val="342F5E12"/>
    <w:rsid w:val="3474193F"/>
    <w:rsid w:val="34AB3BF8"/>
    <w:rsid w:val="34B16FEE"/>
    <w:rsid w:val="35AF0E81"/>
    <w:rsid w:val="35F745D6"/>
    <w:rsid w:val="36273D89"/>
    <w:rsid w:val="367F645A"/>
    <w:rsid w:val="3695459B"/>
    <w:rsid w:val="36D7793D"/>
    <w:rsid w:val="36F95200"/>
    <w:rsid w:val="388436B1"/>
    <w:rsid w:val="38E47094"/>
    <w:rsid w:val="38FD5398"/>
    <w:rsid w:val="394E275F"/>
    <w:rsid w:val="39DC7D6B"/>
    <w:rsid w:val="39E906DA"/>
    <w:rsid w:val="3C591B47"/>
    <w:rsid w:val="3D4D10EE"/>
    <w:rsid w:val="3F516511"/>
    <w:rsid w:val="4090365D"/>
    <w:rsid w:val="40CF23D7"/>
    <w:rsid w:val="40E31FB1"/>
    <w:rsid w:val="41062408"/>
    <w:rsid w:val="41C605C3"/>
    <w:rsid w:val="42E43929"/>
    <w:rsid w:val="442503CD"/>
    <w:rsid w:val="44775260"/>
    <w:rsid w:val="449F47B6"/>
    <w:rsid w:val="45B148A0"/>
    <w:rsid w:val="45CF69D6"/>
    <w:rsid w:val="4712105C"/>
    <w:rsid w:val="47176886"/>
    <w:rsid w:val="47A04ACD"/>
    <w:rsid w:val="47FB61A8"/>
    <w:rsid w:val="480C703A"/>
    <w:rsid w:val="499A379E"/>
    <w:rsid w:val="4AEC002A"/>
    <w:rsid w:val="4B4F1676"/>
    <w:rsid w:val="4BED22AB"/>
    <w:rsid w:val="4C4E6541"/>
    <w:rsid w:val="4C6C192F"/>
    <w:rsid w:val="4D2E492A"/>
    <w:rsid w:val="4D8207D1"/>
    <w:rsid w:val="4E1C2D2F"/>
    <w:rsid w:val="4F0040A4"/>
    <w:rsid w:val="4F0735D4"/>
    <w:rsid w:val="4F0A5FD9"/>
    <w:rsid w:val="4F267EE8"/>
    <w:rsid w:val="4F2A1BE1"/>
    <w:rsid w:val="4F351F9F"/>
    <w:rsid w:val="4FAA2FE5"/>
    <w:rsid w:val="4FBD0128"/>
    <w:rsid w:val="4FDE7F7E"/>
    <w:rsid w:val="50202665"/>
    <w:rsid w:val="50574197"/>
    <w:rsid w:val="51F85787"/>
    <w:rsid w:val="536B1A18"/>
    <w:rsid w:val="53894286"/>
    <w:rsid w:val="547C5F7A"/>
    <w:rsid w:val="547E55F9"/>
    <w:rsid w:val="54890697"/>
    <w:rsid w:val="55465161"/>
    <w:rsid w:val="56030DD8"/>
    <w:rsid w:val="561B016A"/>
    <w:rsid w:val="56520564"/>
    <w:rsid w:val="56E524FD"/>
    <w:rsid w:val="570A5ABF"/>
    <w:rsid w:val="572A7F10"/>
    <w:rsid w:val="577D31D6"/>
    <w:rsid w:val="58C16954"/>
    <w:rsid w:val="59351CF1"/>
    <w:rsid w:val="59CB7C49"/>
    <w:rsid w:val="5A555A86"/>
    <w:rsid w:val="5A905B26"/>
    <w:rsid w:val="5B223D51"/>
    <w:rsid w:val="5B294982"/>
    <w:rsid w:val="5B38460D"/>
    <w:rsid w:val="5C427AAA"/>
    <w:rsid w:val="5C7C7330"/>
    <w:rsid w:val="5CA87AE6"/>
    <w:rsid w:val="5E7E6D93"/>
    <w:rsid w:val="5EAD0014"/>
    <w:rsid w:val="5F3D0F4D"/>
    <w:rsid w:val="5FBF1411"/>
    <w:rsid w:val="5FEF1CF6"/>
    <w:rsid w:val="61797A93"/>
    <w:rsid w:val="62061579"/>
    <w:rsid w:val="621B5792"/>
    <w:rsid w:val="62404BC5"/>
    <w:rsid w:val="638B1595"/>
    <w:rsid w:val="64FF652B"/>
    <w:rsid w:val="65765D68"/>
    <w:rsid w:val="658A426F"/>
    <w:rsid w:val="658E5B0E"/>
    <w:rsid w:val="66F9345B"/>
    <w:rsid w:val="686F7322"/>
    <w:rsid w:val="68906041"/>
    <w:rsid w:val="69E14DA6"/>
    <w:rsid w:val="6A2F3726"/>
    <w:rsid w:val="6A8D58C5"/>
    <w:rsid w:val="6B030D4C"/>
    <w:rsid w:val="6B044C71"/>
    <w:rsid w:val="6B63086B"/>
    <w:rsid w:val="6B9B68D2"/>
    <w:rsid w:val="6BDF70C3"/>
    <w:rsid w:val="6C7D2465"/>
    <w:rsid w:val="6CE23B48"/>
    <w:rsid w:val="6D114662"/>
    <w:rsid w:val="6D5910F7"/>
    <w:rsid w:val="6DDE4FBC"/>
    <w:rsid w:val="6E1F5E9D"/>
    <w:rsid w:val="6E6C4E5A"/>
    <w:rsid w:val="6EB72579"/>
    <w:rsid w:val="6F332352"/>
    <w:rsid w:val="6FD11EC5"/>
    <w:rsid w:val="6FD42CB7"/>
    <w:rsid w:val="7014645E"/>
    <w:rsid w:val="71371D0D"/>
    <w:rsid w:val="722A3062"/>
    <w:rsid w:val="72563E57"/>
    <w:rsid w:val="74017DF2"/>
    <w:rsid w:val="745E5245"/>
    <w:rsid w:val="76870A83"/>
    <w:rsid w:val="76EF40BB"/>
    <w:rsid w:val="77444BC6"/>
    <w:rsid w:val="77DE46D3"/>
    <w:rsid w:val="78FA19E0"/>
    <w:rsid w:val="7B7C23B4"/>
    <w:rsid w:val="7D955719"/>
    <w:rsid w:val="7E3C03A5"/>
    <w:rsid w:val="7E3D33F7"/>
    <w:rsid w:val="7E402C0C"/>
    <w:rsid w:val="7E5A6A7D"/>
    <w:rsid w:val="7E991353"/>
    <w:rsid w:val="7F231565"/>
    <w:rsid w:val="7FD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40" w:lineRule="exact"/>
      <w:outlineLvl w:val="0"/>
    </w:p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adjustRightInd w:val="0"/>
      <w:spacing w:line="360" w:lineRule="exact"/>
      <w:ind w:firstLine="200" w:firstLineChars="200"/>
    </w:pPr>
    <w:rPr>
      <w:rFonts w:eastAsia="仿宋_GB2312"/>
      <w:sz w:val="32"/>
      <w:szCs w:val="22"/>
    </w:rPr>
  </w:style>
  <w:style w:type="paragraph" w:styleId="6">
    <w:name w:val="Body Text 2"/>
    <w:basedOn w:val="1"/>
    <w:qFormat/>
    <w:uiPriority w:val="0"/>
    <w:pPr>
      <w:widowControl/>
      <w:numPr>
        <w:ilvl w:val="0"/>
        <w:numId w:val="1"/>
      </w:numPr>
      <w:tabs>
        <w:tab w:val="clear" w:pos="1440"/>
      </w:tabs>
      <w:spacing w:before="156" w:beforeLines="50" w:line="336" w:lineRule="auto"/>
      <w:ind w:left="0" w:firstLine="0"/>
    </w:pPr>
    <w:rPr>
      <w:rFonts w:eastAsia="黑体"/>
      <w:szCs w:val="20"/>
      <w:lang w:val="en-GB"/>
    </w:rPr>
  </w:style>
  <w:style w:type="paragraph" w:styleId="7">
    <w:name w:val="Body Text Indent"/>
    <w:basedOn w:val="1"/>
    <w:unhideWhenUsed/>
    <w:qFormat/>
    <w:uiPriority w:val="99"/>
    <w:pPr>
      <w:ind w:left="540" w:leftChars="257" w:firstLine="20" w:firstLineChars="7"/>
    </w:pPr>
    <w:rPr>
      <w:sz w:val="2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5"/>
    <w:next w:val="12"/>
    <w:qFormat/>
    <w:uiPriority w:val="0"/>
    <w:pPr>
      <w:ind w:firstLine="420" w:firstLineChars="100"/>
    </w:pPr>
  </w:style>
  <w:style w:type="paragraph" w:styleId="12">
    <w:name w:val="Body Text First Indent 2"/>
    <w:basedOn w:val="7"/>
    <w:qFormat/>
    <w:uiPriority w:val="0"/>
    <w:pPr>
      <w:spacing w:after="120" w:afterLines="0" w:line="240" w:lineRule="auto"/>
      <w:ind w:left="420" w:leftChars="200" w:firstLine="420" w:firstLineChars="200"/>
    </w:pPr>
    <w:rPr>
      <w:rFonts w:ascii="Times New Roman" w:hAns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paragraph" w:customStyle="1" w:styleId="1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19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paragraph" w:customStyle="1" w:styleId="20">
    <w:name w:val="列出段落1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">
    <w:name w:val="目录 21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22">
    <w:name w:val="Body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80" w:lineRule="exact"/>
      <w:ind w:left="0" w:right="0"/>
      <w:jc w:val="both"/>
      <w:textAlignment w:val="baseline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61aa79e-605f-464f-9c62-9b391f1497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2265</Words>
  <Characters>2271</Characters>
  <Lines>5</Lines>
  <Paragraphs>1</Paragraphs>
  <TotalTime>1</TotalTime>
  <ScaleCrop>false</ScaleCrop>
  <LinksUpToDate>false</LinksUpToDate>
  <CharactersWithSpaces>2271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2024-04-25T10:16:00Z</dcterms:created>
  <dc:creator>Administrator</dc:creator>
  <cp:lastModifiedBy>秋秋</cp:lastModifiedBy>
  <cp:lastPrinted>2026-02-24T02:34:00Z</cp:lastPrinted>
  <dcterms:modified xsi:type="dcterms:W3CDTF">2026-05-08T10:57:50Z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01B4FC53E74A4DE7BB6A43506F5FDE74_13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