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C29F9">
      <w:pPr>
        <w:keepNext w:val="0"/>
        <w:keepLines w:val="0"/>
        <w:pageBreakBefore w:val="0"/>
        <w:widowControl w:val="0"/>
        <w:kinsoku/>
        <w:wordWrap/>
        <w:overflowPunct/>
        <w:topLinePunct w:val="0"/>
        <w:autoSpaceDE/>
        <w:autoSpaceDN/>
        <w:bidi w:val="0"/>
        <w:adjustRightInd/>
        <w:snapToGrid/>
        <w:spacing w:after="327" w:afterLines="100" w:line="560" w:lineRule="exact"/>
        <w:jc w:val="center"/>
        <w:textAlignment w:val="auto"/>
        <w:rPr>
          <w:rFonts w:hint="eastAsia" w:ascii="方正小标宋简体" w:hAnsi="方正小标宋简体" w:eastAsia="方正小标宋简体" w:cs="方正小标宋简体"/>
          <w:sz w:val="44"/>
          <w:szCs w:val="44"/>
        </w:rPr>
      </w:pPr>
      <w:bookmarkStart w:id="0" w:name="_Hlk130221285"/>
      <w:r>
        <w:rPr>
          <w:rFonts w:hint="eastAsia" w:ascii="方正小标宋简体" w:hAnsi="方正小标宋简体" w:eastAsia="方正小标宋简体" w:cs="方正小标宋简体"/>
          <w:sz w:val="44"/>
          <w:szCs w:val="44"/>
        </w:rPr>
        <w:t>药师审方干预系统与集采药品智能管控</w:t>
      </w:r>
    </w:p>
    <w:p w14:paraId="4A3475FD">
      <w:pPr>
        <w:keepNext w:val="0"/>
        <w:keepLines w:val="0"/>
        <w:pageBreakBefore w:val="0"/>
        <w:widowControl w:val="0"/>
        <w:kinsoku/>
        <w:wordWrap/>
        <w:overflowPunct/>
        <w:topLinePunct w:val="0"/>
        <w:autoSpaceDE/>
        <w:autoSpaceDN/>
        <w:bidi w:val="0"/>
        <w:adjustRightInd/>
        <w:snapToGrid/>
        <w:spacing w:after="327" w:afterLines="100"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系统评分方法</w:t>
      </w:r>
    </w:p>
    <w:p w14:paraId="282CED0B">
      <w:pPr>
        <w:pStyle w:val="25"/>
        <w:keepNext/>
        <w:keepLines/>
        <w:pageBreakBefore w:val="0"/>
        <w:widowControl w:val="0"/>
        <w:numPr>
          <w:ilvl w:val="0"/>
          <w:numId w:val="2"/>
        </w:numPr>
        <w:kinsoku/>
        <w:wordWrap/>
        <w:overflowPunct/>
        <w:topLinePunct w:val="0"/>
        <w:bidi w:val="0"/>
        <w:snapToGrid/>
        <w:spacing w:line="240" w:lineRule="auto"/>
        <w:ind w:left="0" w:leftChars="0" w:right="0" w:rightChars="0" w:firstLine="0" w:firstLineChars="0"/>
        <w:textAlignment w:val="auto"/>
        <w:outlineLvl w:val="1"/>
        <w:rPr>
          <w:rFonts w:hint="eastAsia" w:ascii="宋体" w:hAnsi="宋体" w:eastAsia="宋体" w:cs="宋体"/>
          <w:b/>
          <w:bCs/>
          <w:sz w:val="24"/>
          <w:szCs w:val="24"/>
        </w:rPr>
      </w:pPr>
      <w:r>
        <w:rPr>
          <w:rFonts w:hint="eastAsia" w:ascii="宋体" w:hAnsi="宋体" w:eastAsia="宋体" w:cs="宋体"/>
          <w:b/>
          <w:bCs/>
          <w:sz w:val="24"/>
          <w:szCs w:val="24"/>
        </w:rPr>
        <w:t>系统评分要求</w:t>
      </w:r>
    </w:p>
    <w:p w14:paraId="7EF8A42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本项目采用综合评分办法，</w:t>
      </w:r>
      <w:r>
        <w:rPr>
          <w:rFonts w:hint="eastAsia" w:ascii="宋体" w:hAnsi="宋体" w:eastAsia="宋体" w:cs="宋体"/>
          <w:sz w:val="24"/>
          <w:szCs w:val="24"/>
          <w:lang w:val="en-US" w:eastAsia="zh-CN"/>
        </w:rPr>
        <w:t>专家</w:t>
      </w:r>
      <w:r>
        <w:rPr>
          <w:rFonts w:hint="eastAsia" w:ascii="宋体" w:hAnsi="宋体" w:eastAsia="宋体" w:cs="宋体"/>
          <w:sz w:val="24"/>
          <w:szCs w:val="24"/>
        </w:rPr>
        <w:t>小组严格按照</w:t>
      </w:r>
      <w:r>
        <w:rPr>
          <w:rFonts w:hint="eastAsia" w:ascii="宋体" w:hAnsi="宋体" w:eastAsia="宋体" w:cs="宋体"/>
          <w:sz w:val="24"/>
          <w:szCs w:val="24"/>
          <w:lang w:val="en-US" w:eastAsia="zh-CN"/>
        </w:rPr>
        <w:t>采购</w:t>
      </w:r>
      <w:r>
        <w:rPr>
          <w:rFonts w:hint="eastAsia" w:ascii="宋体" w:hAnsi="宋体" w:eastAsia="宋体" w:cs="宋体"/>
          <w:sz w:val="24"/>
          <w:szCs w:val="24"/>
        </w:rPr>
        <w:t>文件规定的评分标准和要求，对各投标文件进行综合评审，按得分高低顺序推荐中标候选人。项目采用百分制，评审保留至小数点后两位，具体评分细则如下：</w:t>
      </w:r>
      <w:bookmarkStart w:id="1" w:name="OLE_LINK1"/>
    </w:p>
    <w:tbl>
      <w:tblPr>
        <w:tblStyle w:val="14"/>
        <w:tblW w:w="4998" w:type="pct"/>
        <w:jc w:val="center"/>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autofit"/>
        <w:tblCellMar>
          <w:top w:w="0" w:type="dxa"/>
          <w:left w:w="0" w:type="dxa"/>
          <w:bottom w:w="0" w:type="dxa"/>
          <w:right w:w="0" w:type="dxa"/>
        </w:tblCellMar>
      </w:tblPr>
      <w:tblGrid>
        <w:gridCol w:w="867"/>
        <w:gridCol w:w="976"/>
        <w:gridCol w:w="923"/>
        <w:gridCol w:w="5547"/>
      </w:tblGrid>
      <w:tr w14:paraId="078A4721">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1108" w:type="pct"/>
            <w:gridSpan w:val="2"/>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300F0C19">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bCs w:val="0"/>
                <w:color w:val="000000"/>
                <w:sz w:val="24"/>
                <w:szCs w:val="24"/>
              </w:rPr>
            </w:pPr>
            <w:r>
              <w:rPr>
                <w:rFonts w:hint="eastAsia" w:ascii="宋体" w:hAnsi="宋体" w:eastAsia="宋体" w:cs="宋体"/>
                <w:b/>
                <w:bCs w:val="0"/>
                <w:color w:val="000000"/>
                <w:sz w:val="24"/>
                <w:szCs w:val="24"/>
              </w:rPr>
              <w:t>评审因素</w:t>
            </w:r>
          </w:p>
        </w:tc>
        <w:tc>
          <w:tcPr>
            <w:tcW w:w="5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4FDB98">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bCs w:val="0"/>
                <w:color w:val="000000"/>
                <w:sz w:val="24"/>
                <w:szCs w:val="24"/>
              </w:rPr>
            </w:pPr>
            <w:r>
              <w:rPr>
                <w:rFonts w:hint="eastAsia" w:ascii="宋体" w:hAnsi="宋体" w:eastAsia="宋体" w:cs="宋体"/>
                <w:b/>
                <w:bCs w:val="0"/>
                <w:color w:val="000000"/>
                <w:sz w:val="24"/>
                <w:szCs w:val="24"/>
              </w:rPr>
              <w:t>分数</w:t>
            </w:r>
          </w:p>
        </w:tc>
        <w:tc>
          <w:tcPr>
            <w:tcW w:w="333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A83F1F">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bCs w:val="0"/>
                <w:color w:val="000000"/>
                <w:sz w:val="24"/>
                <w:szCs w:val="24"/>
              </w:rPr>
            </w:pPr>
            <w:r>
              <w:rPr>
                <w:rFonts w:hint="eastAsia" w:ascii="宋体" w:hAnsi="宋体" w:eastAsia="宋体" w:cs="宋体"/>
                <w:b/>
                <w:bCs w:val="0"/>
                <w:color w:val="000000"/>
                <w:sz w:val="24"/>
                <w:szCs w:val="24"/>
              </w:rPr>
              <w:t>评审标准</w:t>
            </w:r>
          </w:p>
        </w:tc>
      </w:tr>
      <w:tr w14:paraId="725F852D">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2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D77FAC">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报价因素</w:t>
            </w:r>
          </w:p>
          <w:p w14:paraId="0C49DCA7">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(1</w:t>
            </w:r>
            <w:r>
              <w:rPr>
                <w:rFonts w:hint="eastAsia" w:ascii="宋体" w:hAnsi="宋体" w:eastAsia="宋体" w:cs="宋体"/>
                <w:b w:val="0"/>
                <w:color w:val="000000"/>
                <w:sz w:val="24"/>
                <w:szCs w:val="24"/>
                <w:lang w:val="en-US" w:eastAsia="zh-CN"/>
              </w:rPr>
              <w:t>5</w:t>
            </w:r>
            <w:r>
              <w:rPr>
                <w:rFonts w:hint="eastAsia" w:ascii="宋体" w:hAnsi="宋体" w:eastAsia="宋体" w:cs="宋体"/>
                <w:b w:val="0"/>
                <w:color w:val="000000"/>
                <w:sz w:val="24"/>
                <w:szCs w:val="24"/>
              </w:rPr>
              <w:t>分)</w:t>
            </w:r>
          </w:p>
        </w:tc>
        <w:tc>
          <w:tcPr>
            <w:tcW w:w="5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A2AD1E">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投标报价</w:t>
            </w:r>
          </w:p>
        </w:tc>
        <w:tc>
          <w:tcPr>
            <w:tcW w:w="5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D7FF16">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1</w:t>
            </w:r>
            <w:r>
              <w:rPr>
                <w:rFonts w:hint="eastAsia" w:ascii="宋体" w:hAnsi="宋体" w:eastAsia="宋体" w:cs="宋体"/>
                <w:b w:val="0"/>
                <w:color w:val="000000"/>
                <w:sz w:val="24"/>
                <w:szCs w:val="24"/>
                <w:lang w:val="en-US" w:eastAsia="zh-CN"/>
              </w:rPr>
              <w:t>5</w:t>
            </w:r>
            <w:r>
              <w:rPr>
                <w:rFonts w:hint="eastAsia" w:ascii="宋体" w:hAnsi="宋体" w:eastAsia="宋体" w:cs="宋体"/>
                <w:b w:val="0"/>
                <w:color w:val="000000"/>
                <w:sz w:val="24"/>
                <w:szCs w:val="24"/>
              </w:rPr>
              <w:t>分</w:t>
            </w:r>
          </w:p>
        </w:tc>
        <w:tc>
          <w:tcPr>
            <w:tcW w:w="333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61C8C1">
            <w:pPr>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lang w:eastAsia="zh-CN"/>
              </w:rPr>
            </w:pPr>
            <w:r>
              <w:rPr>
                <w:rFonts w:hint="eastAsia" w:ascii="宋体" w:hAnsi="宋体" w:eastAsia="宋体" w:cs="宋体"/>
                <w:b w:val="0"/>
                <w:color w:val="000000"/>
                <w:sz w:val="24"/>
                <w:szCs w:val="24"/>
              </w:rPr>
              <w:t>以本次最低经评审的报价为基准价（得满分），报价得分=（基准价/报价）×1</w:t>
            </w:r>
            <w:r>
              <w:rPr>
                <w:rFonts w:hint="eastAsia" w:ascii="宋体" w:hAnsi="宋体" w:eastAsia="宋体" w:cs="宋体"/>
                <w:b w:val="0"/>
                <w:color w:val="000000"/>
                <w:sz w:val="24"/>
                <w:szCs w:val="24"/>
                <w:lang w:val="en-US" w:eastAsia="zh-CN"/>
              </w:rPr>
              <w:t>5</w:t>
            </w:r>
          </w:p>
        </w:tc>
      </w:tr>
      <w:tr w14:paraId="4A66CF61">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2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585134C">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技术因素</w:t>
            </w:r>
          </w:p>
          <w:p w14:paraId="6D421F80">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(5</w:t>
            </w:r>
            <w:r>
              <w:rPr>
                <w:rFonts w:hint="eastAsia" w:ascii="宋体" w:hAnsi="宋体" w:eastAsia="宋体" w:cs="宋体"/>
                <w:b w:val="0"/>
                <w:color w:val="000000"/>
                <w:sz w:val="24"/>
                <w:szCs w:val="24"/>
                <w:lang w:val="en-US" w:eastAsia="zh-CN"/>
              </w:rPr>
              <w:t>0</w:t>
            </w:r>
            <w:r>
              <w:rPr>
                <w:rFonts w:hint="eastAsia" w:ascii="宋体" w:hAnsi="宋体" w:eastAsia="宋体" w:cs="宋体"/>
                <w:b w:val="0"/>
                <w:color w:val="000000"/>
                <w:sz w:val="24"/>
                <w:szCs w:val="24"/>
              </w:rPr>
              <w:t>分)</w:t>
            </w:r>
          </w:p>
        </w:tc>
        <w:tc>
          <w:tcPr>
            <w:tcW w:w="5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BF69FD">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技术参数响应</w:t>
            </w:r>
          </w:p>
        </w:tc>
        <w:tc>
          <w:tcPr>
            <w:tcW w:w="5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51C561">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2</w:t>
            </w:r>
            <w:r>
              <w:rPr>
                <w:rFonts w:hint="eastAsia" w:ascii="宋体" w:hAnsi="宋体" w:eastAsia="宋体" w:cs="宋体"/>
                <w:b w:val="0"/>
                <w:color w:val="000000"/>
                <w:sz w:val="24"/>
                <w:szCs w:val="24"/>
                <w:lang w:val="en-US" w:eastAsia="zh-CN"/>
              </w:rPr>
              <w:t>2</w:t>
            </w:r>
            <w:r>
              <w:rPr>
                <w:rFonts w:hint="eastAsia" w:ascii="宋体" w:hAnsi="宋体" w:eastAsia="宋体" w:cs="宋体"/>
                <w:b w:val="0"/>
                <w:color w:val="000000"/>
                <w:sz w:val="24"/>
                <w:szCs w:val="24"/>
              </w:rPr>
              <w:t>分</w:t>
            </w:r>
          </w:p>
        </w:tc>
        <w:tc>
          <w:tcPr>
            <w:tcW w:w="333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0E1C77">
            <w:pPr>
              <w:pageBreakBefore w:val="0"/>
              <w:widowControl w:val="0"/>
              <w:tabs>
                <w:tab w:val="left" w:pos="1920"/>
              </w:tabs>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招标文件功能要求及技术要求中：完全满足没有负偏离的得满分2</w:t>
            </w:r>
            <w:r>
              <w:rPr>
                <w:rFonts w:hint="eastAsia" w:ascii="宋体" w:hAnsi="宋体" w:eastAsia="宋体" w:cs="宋体"/>
                <w:b w:val="0"/>
                <w:color w:val="000000"/>
                <w:sz w:val="24"/>
                <w:szCs w:val="24"/>
                <w:lang w:val="en-US" w:eastAsia="zh-CN"/>
              </w:rPr>
              <w:t>2</w:t>
            </w:r>
            <w:r>
              <w:rPr>
                <w:rFonts w:hint="eastAsia" w:ascii="宋体" w:hAnsi="宋体" w:eastAsia="宋体" w:cs="宋体"/>
                <w:b w:val="0"/>
                <w:color w:val="000000"/>
                <w:sz w:val="24"/>
                <w:szCs w:val="24"/>
              </w:rPr>
              <w:t>分，加注“</w:t>
            </w:r>
            <w:r>
              <w:rPr>
                <w:rFonts w:hint="eastAsia" w:ascii="宋体" w:hAnsi="宋体" w:eastAsia="宋体" w:cs="宋体"/>
                <w:b w:val="0"/>
                <w:bCs/>
                <w:color w:val="000000"/>
                <w:sz w:val="24"/>
                <w:szCs w:val="24"/>
              </w:rPr>
              <w:t>★</w:t>
            </w:r>
            <w:r>
              <w:rPr>
                <w:rFonts w:hint="eastAsia" w:ascii="宋体" w:hAnsi="宋体" w:eastAsia="宋体" w:cs="宋体"/>
                <w:b w:val="0"/>
                <w:color w:val="000000"/>
                <w:sz w:val="24"/>
                <w:szCs w:val="24"/>
              </w:rPr>
              <w:t>”号的功能要求有负偏离的，一项扣2分，未加注“</w:t>
            </w:r>
            <w:r>
              <w:rPr>
                <w:rFonts w:hint="eastAsia" w:ascii="宋体" w:hAnsi="宋体" w:eastAsia="宋体" w:cs="宋体"/>
                <w:b w:val="0"/>
                <w:bCs/>
                <w:color w:val="000000"/>
                <w:sz w:val="24"/>
                <w:szCs w:val="24"/>
              </w:rPr>
              <w:t>★</w:t>
            </w:r>
            <w:r>
              <w:rPr>
                <w:rFonts w:hint="eastAsia" w:ascii="宋体" w:hAnsi="宋体" w:eastAsia="宋体" w:cs="宋体"/>
                <w:b w:val="0"/>
                <w:color w:val="000000"/>
                <w:sz w:val="24"/>
                <w:szCs w:val="24"/>
              </w:rPr>
              <w:t>”号的功能要求有负偏离的，一项扣1分，扣完为止。</w:t>
            </w:r>
          </w:p>
        </w:tc>
      </w:tr>
      <w:tr w14:paraId="21613744">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2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2EA762">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p>
        </w:tc>
        <w:tc>
          <w:tcPr>
            <w:tcW w:w="5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D85110">
            <w:pPr>
              <w:pStyle w:val="31"/>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项目实施方案</w:t>
            </w:r>
          </w:p>
        </w:tc>
        <w:tc>
          <w:tcPr>
            <w:tcW w:w="5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AAB353">
            <w:pPr>
              <w:pStyle w:val="31"/>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val="en-US" w:eastAsia="zh-CN"/>
              </w:rPr>
              <w:t>10</w:t>
            </w:r>
            <w:r>
              <w:rPr>
                <w:rFonts w:hint="eastAsia" w:ascii="宋体" w:hAnsi="宋体" w:eastAsia="宋体" w:cs="宋体"/>
                <w:b w:val="0"/>
                <w:color w:val="000000"/>
                <w:sz w:val="24"/>
                <w:szCs w:val="24"/>
              </w:rPr>
              <w:t>分</w:t>
            </w:r>
          </w:p>
        </w:tc>
        <w:tc>
          <w:tcPr>
            <w:tcW w:w="3335" w:type="pct"/>
            <w:tcBorders>
              <w:top w:val="single" w:color="000000" w:sz="4" w:space="0"/>
              <w:left w:val="single" w:color="000000" w:sz="4" w:space="0"/>
              <w:bottom w:val="single" w:color="000000" w:sz="4" w:space="0"/>
              <w:right w:val="single" w:color="000000" w:sz="4" w:space="0"/>
            </w:tcBorders>
            <w:shd w:val="clear" w:color="auto" w:fill="FFFFFF"/>
          </w:tcPr>
          <w:p w14:paraId="5B776375">
            <w:pPr>
              <w:pStyle w:val="31"/>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提供明确、详尽、完整的项目实施方案，包括实施前准备工作、实施进度计划、项目质量管理、测试、验收等内容。根据方案的科学性、合理性和可操作性进行评分。</w:t>
            </w:r>
          </w:p>
          <w:p w14:paraId="33D275B6">
            <w:pPr>
              <w:pStyle w:val="31"/>
              <w:pageBreakBefore w:val="0"/>
              <w:widowControl w:val="0"/>
              <w:numPr>
                <w:ilvl w:val="0"/>
                <w:numId w:val="3"/>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实施方案进度安排、组织架构不合理，方案不全面，可操作性差或未提供不得分；</w:t>
            </w:r>
          </w:p>
          <w:p w14:paraId="1B2078C3">
            <w:pPr>
              <w:pStyle w:val="31"/>
              <w:pageBreakBefore w:val="0"/>
              <w:widowControl w:val="0"/>
              <w:numPr>
                <w:ilvl w:val="0"/>
                <w:numId w:val="3"/>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实施方案不够全面，进度安排、组织架构不够合理，无法完全满足项目要求得</w:t>
            </w:r>
            <w:r>
              <w:rPr>
                <w:rFonts w:hint="eastAsia" w:ascii="宋体" w:hAnsi="宋体" w:eastAsia="宋体" w:cs="宋体"/>
                <w:b w:val="0"/>
                <w:color w:val="000000"/>
                <w:sz w:val="24"/>
                <w:szCs w:val="24"/>
                <w:lang w:val="en-US" w:eastAsia="zh-CN"/>
              </w:rPr>
              <w:t>5</w:t>
            </w:r>
            <w:r>
              <w:rPr>
                <w:rFonts w:hint="eastAsia" w:ascii="宋体" w:hAnsi="宋体" w:eastAsia="宋体" w:cs="宋体"/>
                <w:b w:val="0"/>
                <w:color w:val="000000"/>
                <w:sz w:val="24"/>
                <w:szCs w:val="24"/>
              </w:rPr>
              <w:t>分；</w:t>
            </w:r>
          </w:p>
          <w:p w14:paraId="51AE28D4">
            <w:pPr>
              <w:pStyle w:val="31"/>
              <w:pageBreakBefore w:val="0"/>
              <w:widowControl w:val="0"/>
              <w:numPr>
                <w:ilvl w:val="0"/>
                <w:numId w:val="3"/>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方案详实具有可操作性得</w:t>
            </w:r>
            <w:r>
              <w:rPr>
                <w:rFonts w:hint="eastAsia" w:ascii="宋体" w:hAnsi="宋体" w:eastAsia="宋体" w:cs="宋体"/>
                <w:b w:val="0"/>
                <w:color w:val="000000"/>
                <w:sz w:val="24"/>
                <w:szCs w:val="24"/>
                <w:lang w:val="en-US" w:eastAsia="zh-CN"/>
              </w:rPr>
              <w:t>10</w:t>
            </w:r>
            <w:r>
              <w:rPr>
                <w:rFonts w:hint="eastAsia" w:ascii="宋体" w:hAnsi="宋体" w:eastAsia="宋体" w:cs="宋体"/>
                <w:b w:val="0"/>
                <w:color w:val="000000"/>
                <w:sz w:val="24"/>
                <w:szCs w:val="24"/>
              </w:rPr>
              <w:t>分。</w:t>
            </w:r>
          </w:p>
        </w:tc>
      </w:tr>
      <w:tr w14:paraId="102AFE44">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2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91F4E9">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p>
        </w:tc>
        <w:tc>
          <w:tcPr>
            <w:tcW w:w="5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6D53E0">
            <w:pPr>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售后服务方案</w:t>
            </w:r>
          </w:p>
        </w:tc>
        <w:tc>
          <w:tcPr>
            <w:tcW w:w="5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37B24A">
            <w:pPr>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8分</w:t>
            </w:r>
          </w:p>
        </w:tc>
        <w:tc>
          <w:tcPr>
            <w:tcW w:w="3335" w:type="pct"/>
            <w:tcBorders>
              <w:top w:val="single" w:color="000000" w:sz="4" w:space="0"/>
              <w:left w:val="single" w:color="000000" w:sz="4" w:space="0"/>
              <w:bottom w:val="single" w:color="000000" w:sz="4" w:space="0"/>
              <w:right w:val="single" w:color="000000" w:sz="4" w:space="0"/>
            </w:tcBorders>
            <w:shd w:val="clear" w:color="auto" w:fill="FFFFFF"/>
          </w:tcPr>
          <w:p w14:paraId="4BA06F28">
            <w:pPr>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lang w:eastAsia="zh-CN"/>
              </w:rPr>
            </w:pPr>
            <w:r>
              <w:rPr>
                <w:rFonts w:hint="eastAsia" w:ascii="宋体" w:hAnsi="宋体" w:eastAsia="宋体" w:cs="宋体"/>
                <w:b w:val="0"/>
                <w:color w:val="000000"/>
                <w:sz w:val="24"/>
                <w:szCs w:val="24"/>
              </w:rPr>
              <w:t>具备完备的售后服务体系，提供售后服务方案包含有：售后服务期限、服务内容、服务方式、售后服务质量保证措施等</w:t>
            </w: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rPr>
              <w:t>根据方案内容进行评分</w:t>
            </w:r>
            <w:r>
              <w:rPr>
                <w:rFonts w:hint="eastAsia" w:ascii="宋体" w:hAnsi="宋体" w:eastAsia="宋体" w:cs="宋体"/>
                <w:b w:val="0"/>
                <w:color w:val="000000"/>
                <w:sz w:val="24"/>
                <w:szCs w:val="24"/>
                <w:lang w:eastAsia="zh-CN"/>
              </w:rPr>
              <w:t>。</w:t>
            </w:r>
          </w:p>
          <w:p w14:paraId="2FDFC10B">
            <w:pPr>
              <w:pageBreakBefore w:val="0"/>
              <w:widowControl w:val="0"/>
              <w:numPr>
                <w:ilvl w:val="0"/>
                <w:numId w:val="4"/>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售后服务方案适用性差、不能完全满足采购人的需求或未提供不得分；</w:t>
            </w:r>
          </w:p>
          <w:p w14:paraId="6108F3D9">
            <w:pPr>
              <w:pageBreakBefore w:val="0"/>
              <w:widowControl w:val="0"/>
              <w:numPr>
                <w:ilvl w:val="0"/>
                <w:numId w:val="4"/>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售后服务方案较为全面，有基本的服务流程和内容，基本满足采购人的要求得3分；</w:t>
            </w:r>
          </w:p>
          <w:p w14:paraId="73BF624C">
            <w:pPr>
              <w:pageBreakBefore w:val="0"/>
              <w:widowControl w:val="0"/>
              <w:numPr>
                <w:ilvl w:val="0"/>
                <w:numId w:val="4"/>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方案全面合理，内容具体、适用性强，可全面满足采购人的售后服务需求得8分。</w:t>
            </w:r>
          </w:p>
        </w:tc>
      </w:tr>
      <w:tr w14:paraId="6C959E38">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2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6933EB">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p>
        </w:tc>
        <w:tc>
          <w:tcPr>
            <w:tcW w:w="5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F9A792">
            <w:pPr>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培训方案</w:t>
            </w:r>
          </w:p>
        </w:tc>
        <w:tc>
          <w:tcPr>
            <w:tcW w:w="5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9E66C6">
            <w:pPr>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7分</w:t>
            </w:r>
          </w:p>
        </w:tc>
        <w:tc>
          <w:tcPr>
            <w:tcW w:w="3335" w:type="pct"/>
            <w:tcBorders>
              <w:top w:val="single" w:color="000000" w:sz="4" w:space="0"/>
              <w:left w:val="single" w:color="000000" w:sz="4" w:space="0"/>
              <w:bottom w:val="single" w:color="000000" w:sz="4" w:space="0"/>
              <w:right w:val="single" w:color="000000" w:sz="4" w:space="0"/>
            </w:tcBorders>
            <w:shd w:val="clear" w:color="auto" w:fill="FFFFFF"/>
          </w:tcPr>
          <w:p w14:paraId="7EFAB8E9">
            <w:pPr>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提供完善、详细的培训方案，包括培训对象、培训形式、培训内容、培训安排等内容。根据方案的全面性、具体性、适用性进行评分。</w:t>
            </w:r>
          </w:p>
          <w:p w14:paraId="6C35363C">
            <w:pPr>
              <w:pageBreakBefore w:val="0"/>
              <w:widowControl w:val="0"/>
              <w:numPr>
                <w:ilvl w:val="0"/>
                <w:numId w:val="5"/>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方案适用性差、不能完全满足采购人的需求或未提供不得分；</w:t>
            </w:r>
          </w:p>
          <w:p w14:paraId="7132C4D5">
            <w:pPr>
              <w:pageBreakBefore w:val="0"/>
              <w:widowControl w:val="0"/>
              <w:numPr>
                <w:ilvl w:val="0"/>
                <w:numId w:val="5"/>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方案较为全面，有基本的培训计划，内容基本满足采购人的要求得3分；</w:t>
            </w:r>
          </w:p>
          <w:p w14:paraId="65D9B8DB">
            <w:pPr>
              <w:pageBreakBefore w:val="0"/>
              <w:widowControl w:val="0"/>
              <w:numPr>
                <w:ilvl w:val="0"/>
                <w:numId w:val="5"/>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方案全面合理，内容具体、适用性强，可全面满足采购人培训需求得7分。</w:t>
            </w:r>
          </w:p>
        </w:tc>
      </w:tr>
      <w:tr w14:paraId="249B1304">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2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E3C36E">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p>
        </w:tc>
        <w:tc>
          <w:tcPr>
            <w:tcW w:w="5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CD1AD1">
            <w:pPr>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系统安全性</w:t>
            </w:r>
          </w:p>
        </w:tc>
        <w:tc>
          <w:tcPr>
            <w:tcW w:w="5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8AA52E">
            <w:pPr>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3分</w:t>
            </w:r>
          </w:p>
        </w:tc>
        <w:tc>
          <w:tcPr>
            <w:tcW w:w="3335" w:type="pct"/>
            <w:tcBorders>
              <w:top w:val="single" w:color="000000" w:sz="4" w:space="0"/>
              <w:left w:val="single" w:color="000000" w:sz="4" w:space="0"/>
              <w:bottom w:val="single" w:color="000000" w:sz="4" w:space="0"/>
              <w:right w:val="single" w:color="000000" w:sz="4" w:space="0"/>
            </w:tcBorders>
            <w:shd w:val="clear" w:color="auto" w:fill="FFFFFF"/>
          </w:tcPr>
          <w:p w14:paraId="62EFCD12">
            <w:pPr>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产品通过第三方机构安全测试，且测试内容包含漏洞扫描测试的得3分，须提供国家认可的具备评测资格的评测机构出具的测试报告复印件并加盖公章。</w:t>
            </w:r>
          </w:p>
        </w:tc>
      </w:tr>
      <w:tr w14:paraId="25222472">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2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ED640F1">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商务因素</w:t>
            </w:r>
          </w:p>
          <w:p w14:paraId="7C865A74">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(35分)</w:t>
            </w:r>
          </w:p>
        </w:tc>
        <w:tc>
          <w:tcPr>
            <w:tcW w:w="5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490C8D">
            <w:pPr>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lang w:val="en-US" w:eastAsia="zh-CN"/>
              </w:rPr>
            </w:pPr>
            <w:r>
              <w:rPr>
                <w:rFonts w:hint="eastAsia" w:ascii="宋体" w:hAnsi="宋体" w:eastAsia="宋体" w:cs="宋体"/>
                <w:b w:val="0"/>
                <w:color w:val="000000"/>
                <w:sz w:val="24"/>
                <w:szCs w:val="24"/>
              </w:rPr>
              <w:t>项目负责人</w:t>
            </w:r>
            <w:r>
              <w:rPr>
                <w:rFonts w:hint="eastAsia" w:ascii="宋体" w:hAnsi="宋体" w:eastAsia="宋体" w:cs="宋体"/>
                <w:b w:val="0"/>
                <w:color w:val="000000"/>
                <w:sz w:val="24"/>
                <w:szCs w:val="24"/>
                <w:lang w:val="en-US" w:eastAsia="zh-CN"/>
              </w:rPr>
              <w:t>职称</w:t>
            </w:r>
          </w:p>
        </w:tc>
        <w:tc>
          <w:tcPr>
            <w:tcW w:w="5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73532B">
            <w:pPr>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3分</w:t>
            </w:r>
          </w:p>
        </w:tc>
        <w:tc>
          <w:tcPr>
            <w:tcW w:w="333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4A5935">
            <w:pPr>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项目负责人具有计算机技术与软件专业技术资格中级证书，得1分，具有计算机技术与软件专业技术资格高级证书得3分，其他不得分，本项最高得3分；</w:t>
            </w:r>
          </w:p>
          <w:p w14:paraId="584D361F">
            <w:pPr>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评分依据：</w:t>
            </w:r>
            <w:r>
              <w:rPr>
                <w:rFonts w:hint="eastAsia" w:ascii="宋体" w:hAnsi="宋体" w:eastAsia="宋体" w:cs="宋体"/>
                <w:b w:val="0"/>
                <w:bCs/>
                <w:color w:val="000000"/>
                <w:sz w:val="24"/>
                <w:szCs w:val="24"/>
              </w:rPr>
              <w:t>人员需提供身份证、认证证书复印件，以及最近半年内任意连续三个月缴纳人为供应商的社保缴纳证明材料，无缴费记录的应提供由社保部</w:t>
            </w:r>
            <w:bookmarkStart w:id="2" w:name="OLE_LINK78"/>
            <w:r>
              <w:rPr>
                <w:rFonts w:hint="eastAsia" w:ascii="宋体" w:hAnsi="宋体" w:eastAsia="宋体" w:cs="宋体"/>
                <w:b w:val="0"/>
                <w:bCs/>
                <w:color w:val="000000"/>
                <w:sz w:val="24"/>
                <w:szCs w:val="24"/>
              </w:rPr>
              <w:t>门出具的《</w:t>
            </w:r>
            <w:bookmarkEnd w:id="2"/>
            <w:r>
              <w:rPr>
                <w:rFonts w:hint="eastAsia" w:ascii="宋体" w:hAnsi="宋体" w:eastAsia="宋体" w:cs="宋体"/>
                <w:b w:val="0"/>
                <w:bCs/>
                <w:color w:val="000000"/>
                <w:sz w:val="24"/>
                <w:szCs w:val="24"/>
              </w:rPr>
              <w:t>依法缴纳或依法免缴社保费证明》复印件。以上人员证明材料提供不齐全或不提供，不予计分。</w:t>
            </w:r>
          </w:p>
        </w:tc>
      </w:tr>
      <w:tr w14:paraId="34E5CEE3">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2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DCF372">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p>
        </w:tc>
        <w:tc>
          <w:tcPr>
            <w:tcW w:w="5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742193">
            <w:pPr>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lang w:val="en-US" w:eastAsia="zh-CN"/>
              </w:rPr>
            </w:pPr>
            <w:r>
              <w:rPr>
                <w:rFonts w:hint="eastAsia" w:ascii="宋体" w:hAnsi="宋体" w:eastAsia="宋体" w:cs="宋体"/>
                <w:b w:val="0"/>
                <w:color w:val="000000"/>
                <w:sz w:val="24"/>
                <w:szCs w:val="24"/>
              </w:rPr>
              <w:t>项目负责人</w:t>
            </w:r>
            <w:r>
              <w:rPr>
                <w:rFonts w:hint="eastAsia" w:ascii="宋体" w:hAnsi="宋体" w:eastAsia="宋体" w:cs="宋体"/>
                <w:b w:val="0"/>
                <w:color w:val="000000"/>
                <w:sz w:val="24"/>
                <w:szCs w:val="24"/>
                <w:lang w:val="en-US" w:eastAsia="zh-CN"/>
              </w:rPr>
              <w:t>实施经验</w:t>
            </w:r>
          </w:p>
        </w:tc>
        <w:tc>
          <w:tcPr>
            <w:tcW w:w="5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38D0FB">
            <w:pPr>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3分</w:t>
            </w:r>
          </w:p>
        </w:tc>
        <w:tc>
          <w:tcPr>
            <w:tcW w:w="3335" w:type="pct"/>
            <w:tcBorders>
              <w:top w:val="single" w:color="000000" w:sz="4" w:space="0"/>
              <w:left w:val="single" w:color="000000" w:sz="4" w:space="0"/>
              <w:bottom w:val="single" w:color="000000" w:sz="4" w:space="0"/>
              <w:right w:val="single" w:color="000000" w:sz="4" w:space="0"/>
            </w:tcBorders>
            <w:shd w:val="clear" w:color="auto" w:fill="FFFFFF"/>
          </w:tcPr>
          <w:p w14:paraId="54B5F916">
            <w:pPr>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项目负责人为计算机或软件相关专业人员，并具备同类项目实施经验：</w:t>
            </w:r>
          </w:p>
          <w:p w14:paraId="4D1B09C7">
            <w:pPr>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lang w:val="en-US" w:eastAsia="zh-CN"/>
              </w:rPr>
              <w:t>1</w:t>
            </w: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rPr>
              <w:t>同类项目经验低于3年不得分；</w:t>
            </w:r>
          </w:p>
          <w:p w14:paraId="7953FD6E">
            <w:pPr>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lang w:val="en-US" w:eastAsia="zh-CN"/>
              </w:rPr>
              <w:t>2</w:t>
            </w: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rPr>
              <w:t>3年≤同类项目经验＜5年得1分；</w:t>
            </w:r>
          </w:p>
          <w:p w14:paraId="50BFA74D">
            <w:pPr>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lang w:eastAsia="zh-CN"/>
              </w:rPr>
            </w:pP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lang w:val="en-US" w:eastAsia="zh-CN"/>
              </w:rPr>
              <w:t>3</w:t>
            </w: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rPr>
              <w:t>5年≤同类项目经验＜7年得2分</w:t>
            </w:r>
            <w:r>
              <w:rPr>
                <w:rFonts w:hint="eastAsia" w:ascii="宋体" w:hAnsi="宋体" w:eastAsia="宋体" w:cs="宋体"/>
                <w:b w:val="0"/>
                <w:color w:val="000000"/>
                <w:sz w:val="24"/>
                <w:szCs w:val="24"/>
                <w:lang w:eastAsia="zh-CN"/>
              </w:rPr>
              <w:t>；</w:t>
            </w:r>
          </w:p>
          <w:p w14:paraId="603775AD">
            <w:pPr>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lang w:val="en-US" w:eastAsia="zh-CN"/>
              </w:rPr>
              <w:t>4</w:t>
            </w: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rPr>
              <w:t>同类项目经验≥7年得3分。</w:t>
            </w:r>
          </w:p>
          <w:p w14:paraId="28A6FA1D">
            <w:pPr>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注：同类项目是指：药师审方干预</w:t>
            </w: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rPr>
              <w:t>集采药品智能管控相关系统。</w:t>
            </w:r>
          </w:p>
          <w:p w14:paraId="28D600B4">
            <w:pPr>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评分依据：提供</w:t>
            </w:r>
            <w:r>
              <w:rPr>
                <w:rFonts w:hint="eastAsia" w:ascii="宋体" w:hAnsi="宋体" w:eastAsia="宋体" w:cs="宋体"/>
                <w:b w:val="0"/>
                <w:color w:val="000000"/>
                <w:sz w:val="24"/>
                <w:szCs w:val="24"/>
                <w:lang w:val="en-US" w:eastAsia="zh-CN"/>
              </w:rPr>
              <w:t>项目</w:t>
            </w:r>
            <w:r>
              <w:rPr>
                <w:rFonts w:hint="eastAsia" w:ascii="宋体" w:hAnsi="宋体" w:eastAsia="宋体" w:cs="宋体"/>
                <w:b w:val="0"/>
                <w:color w:val="000000"/>
                <w:sz w:val="24"/>
                <w:szCs w:val="24"/>
              </w:rPr>
              <w:t>负责人毕业证书复印件，以及</w:t>
            </w:r>
            <w:r>
              <w:rPr>
                <w:rFonts w:hint="eastAsia" w:ascii="宋体" w:hAnsi="宋体" w:eastAsia="宋体" w:cs="宋体"/>
                <w:b w:val="0"/>
                <w:color w:val="000000"/>
                <w:sz w:val="24"/>
                <w:szCs w:val="24"/>
                <w:lang w:val="en-US" w:eastAsia="zh-CN"/>
              </w:rPr>
              <w:t>项目</w:t>
            </w:r>
            <w:r>
              <w:rPr>
                <w:rFonts w:hint="eastAsia" w:ascii="宋体" w:hAnsi="宋体" w:eastAsia="宋体" w:cs="宋体"/>
                <w:b w:val="0"/>
                <w:color w:val="000000"/>
                <w:sz w:val="24"/>
                <w:szCs w:val="24"/>
              </w:rPr>
              <w:t>负责人所负责项目的合同关键信息和相应项目的最终用户(医院)盖章验收单复印件，加盖公章。</w:t>
            </w:r>
          </w:p>
        </w:tc>
      </w:tr>
      <w:tr w14:paraId="74246040">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2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3E979B">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p>
        </w:tc>
        <w:tc>
          <w:tcPr>
            <w:tcW w:w="5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4AF78A">
            <w:pPr>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项目团队</w:t>
            </w:r>
          </w:p>
        </w:tc>
        <w:tc>
          <w:tcPr>
            <w:tcW w:w="5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074812">
            <w:pPr>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4分</w:t>
            </w:r>
          </w:p>
        </w:tc>
        <w:tc>
          <w:tcPr>
            <w:tcW w:w="3335" w:type="pct"/>
            <w:tcBorders>
              <w:top w:val="single" w:color="000000" w:sz="4" w:space="0"/>
              <w:left w:val="single" w:color="000000" w:sz="4" w:space="0"/>
              <w:bottom w:val="single" w:color="000000" w:sz="4" w:space="0"/>
              <w:right w:val="single" w:color="000000" w:sz="4" w:space="0"/>
            </w:tcBorders>
            <w:shd w:val="clear" w:color="auto" w:fill="FFFFFF"/>
          </w:tcPr>
          <w:p w14:paraId="601A344D">
            <w:pPr>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lang w:val="en-US" w:eastAsia="zh-CN"/>
              </w:rPr>
            </w:pPr>
            <w:r>
              <w:rPr>
                <w:rFonts w:hint="eastAsia" w:ascii="宋体" w:hAnsi="宋体" w:eastAsia="宋体" w:cs="宋体"/>
                <w:b w:val="0"/>
                <w:color w:val="000000"/>
                <w:sz w:val="24"/>
                <w:szCs w:val="24"/>
              </w:rPr>
              <w:t>拟派项目团队成员具有</w:t>
            </w:r>
            <w:r>
              <w:rPr>
                <w:rFonts w:hint="eastAsia" w:ascii="宋体" w:hAnsi="宋体" w:eastAsia="宋体" w:cs="宋体"/>
                <w:b w:val="0"/>
                <w:color w:val="000000"/>
                <w:sz w:val="24"/>
                <w:szCs w:val="24"/>
                <w:lang w:val="en-US" w:eastAsia="zh-CN"/>
              </w:rPr>
              <w:t>以下条件之一：</w:t>
            </w:r>
          </w:p>
          <w:p w14:paraId="101C889E">
            <w:pPr>
              <w:pageBreakBefore w:val="0"/>
              <w:widowControl w:val="0"/>
              <w:numPr>
                <w:ilvl w:val="0"/>
                <w:numId w:val="6"/>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具有药学专业背景</w:t>
            </w:r>
            <w:r>
              <w:rPr>
                <w:rFonts w:hint="eastAsia" w:ascii="宋体" w:hAnsi="宋体" w:eastAsia="宋体" w:cs="宋体"/>
                <w:b w:val="0"/>
                <w:color w:val="000000"/>
                <w:sz w:val="24"/>
                <w:szCs w:val="24"/>
                <w:lang w:val="en-US" w:eastAsia="zh-CN"/>
              </w:rPr>
              <w:t>且具有</w:t>
            </w:r>
            <w:r>
              <w:rPr>
                <w:rFonts w:hint="eastAsia" w:ascii="宋体" w:hAnsi="宋体" w:eastAsia="宋体" w:cs="宋体"/>
                <w:b w:val="0"/>
                <w:color w:val="000000"/>
                <w:sz w:val="24"/>
                <w:szCs w:val="24"/>
              </w:rPr>
              <w:t>执业药师证书</w:t>
            </w:r>
            <w:r>
              <w:rPr>
                <w:rFonts w:hint="eastAsia" w:ascii="宋体" w:hAnsi="宋体" w:eastAsia="宋体" w:cs="宋体"/>
                <w:b w:val="0"/>
                <w:color w:val="000000"/>
                <w:sz w:val="24"/>
                <w:szCs w:val="24"/>
                <w:lang w:val="en-US" w:eastAsia="zh-CN"/>
              </w:rPr>
              <w:t>。</w:t>
            </w:r>
          </w:p>
          <w:p w14:paraId="023E1177">
            <w:pPr>
              <w:pageBreakBefore w:val="0"/>
              <w:widowControl w:val="0"/>
              <w:numPr>
                <w:ilvl w:val="0"/>
                <w:numId w:val="6"/>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具有计算机信息技术专业背景，</w:t>
            </w:r>
            <w:r>
              <w:rPr>
                <w:rFonts w:hint="eastAsia" w:ascii="宋体" w:hAnsi="宋体" w:eastAsia="宋体" w:cs="宋体"/>
                <w:b w:val="0"/>
                <w:color w:val="000000"/>
                <w:sz w:val="24"/>
                <w:szCs w:val="24"/>
                <w:lang w:val="en-US" w:eastAsia="zh-CN"/>
              </w:rPr>
              <w:t>且</w:t>
            </w:r>
            <w:r>
              <w:rPr>
                <w:rFonts w:hint="eastAsia" w:ascii="宋体" w:hAnsi="宋体" w:eastAsia="宋体" w:cs="宋体"/>
                <w:b w:val="0"/>
                <w:color w:val="000000"/>
                <w:sz w:val="24"/>
                <w:szCs w:val="24"/>
              </w:rPr>
              <w:t>具有</w:t>
            </w:r>
            <w:r>
              <w:rPr>
                <w:rFonts w:hint="eastAsia" w:ascii="宋体" w:hAnsi="宋体" w:eastAsia="宋体" w:cs="宋体"/>
                <w:b w:val="0"/>
                <w:color w:val="000000"/>
                <w:sz w:val="24"/>
                <w:szCs w:val="24"/>
                <w:lang w:val="en-US" w:eastAsia="zh-CN"/>
              </w:rPr>
              <w:t>以下证书之一：</w:t>
            </w:r>
            <w:r>
              <w:rPr>
                <w:rFonts w:hint="eastAsia" w:ascii="宋体" w:hAnsi="宋体" w:eastAsia="宋体" w:cs="宋体"/>
                <w:b w:val="0"/>
                <w:color w:val="000000"/>
                <w:sz w:val="24"/>
                <w:szCs w:val="24"/>
              </w:rPr>
              <w:t>系统集成项目管理工程师证书、软件设计师证书、系统分析师证书、软件评测师证书</w:t>
            </w:r>
            <w:r>
              <w:rPr>
                <w:rFonts w:hint="eastAsia" w:ascii="宋体" w:hAnsi="宋体" w:eastAsia="宋体" w:cs="宋体"/>
                <w:b w:val="0"/>
                <w:color w:val="000000"/>
                <w:sz w:val="24"/>
                <w:szCs w:val="24"/>
                <w:lang w:eastAsia="zh-CN"/>
              </w:rPr>
              <w:t>。</w:t>
            </w:r>
          </w:p>
          <w:p w14:paraId="4663B71E">
            <w:pPr>
              <w:pageBreakBefore w:val="0"/>
              <w:widowControl w:val="0"/>
              <w:numPr>
                <w:ilvl w:val="-1"/>
                <w:numId w:val="0"/>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每提供1人得1分，同一人不重复计分，此项最多得4分。</w:t>
            </w:r>
          </w:p>
          <w:p w14:paraId="317517F2">
            <w:pPr>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评分依据：</w:t>
            </w:r>
            <w:r>
              <w:rPr>
                <w:rFonts w:hint="eastAsia" w:ascii="宋体" w:hAnsi="宋体" w:eastAsia="宋体" w:cs="宋体"/>
                <w:b w:val="0"/>
                <w:bCs/>
                <w:color w:val="000000"/>
                <w:sz w:val="24"/>
                <w:szCs w:val="24"/>
                <w:lang w:val="en-US" w:eastAsia="zh-CN"/>
              </w:rPr>
              <w:t>团队成员</w:t>
            </w:r>
            <w:r>
              <w:rPr>
                <w:rFonts w:hint="eastAsia" w:ascii="宋体" w:hAnsi="宋体" w:eastAsia="宋体" w:cs="宋体"/>
                <w:b w:val="0"/>
                <w:bCs/>
                <w:color w:val="000000"/>
                <w:sz w:val="24"/>
                <w:szCs w:val="24"/>
              </w:rPr>
              <w:t>需提供身份证、资格及认证证书复印件，以及最近半年内任意连续三个月缴纳人为供应商的社保缴纳证明材料，无缴费记录的应提供由社保部门出具的《依法缴纳或依法免缴社保费证明》复印件。以上人员证明材料提供不齐全或不提供，不予计分。</w:t>
            </w:r>
          </w:p>
        </w:tc>
      </w:tr>
      <w:tr w14:paraId="48AE154B">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2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8D6013">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p>
        </w:tc>
        <w:tc>
          <w:tcPr>
            <w:tcW w:w="5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AB973C">
            <w:pPr>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研发实力</w:t>
            </w:r>
          </w:p>
        </w:tc>
        <w:tc>
          <w:tcPr>
            <w:tcW w:w="5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D5CCEF">
            <w:pPr>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3分</w:t>
            </w:r>
          </w:p>
        </w:tc>
        <w:tc>
          <w:tcPr>
            <w:tcW w:w="3335" w:type="pct"/>
            <w:tcBorders>
              <w:top w:val="single" w:color="000000" w:sz="4" w:space="0"/>
              <w:left w:val="single" w:color="000000" w:sz="4" w:space="0"/>
              <w:bottom w:val="single" w:color="000000" w:sz="4" w:space="0"/>
              <w:right w:val="single" w:color="000000" w:sz="4" w:space="0"/>
            </w:tcBorders>
            <w:shd w:val="clear" w:color="auto" w:fill="FFFFFF"/>
          </w:tcPr>
          <w:p w14:paraId="2623DBA5">
            <w:pPr>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val="en-US" w:eastAsia="zh-CN"/>
              </w:rPr>
              <w:t>供应商</w:t>
            </w:r>
            <w:r>
              <w:rPr>
                <w:rFonts w:hint="eastAsia" w:ascii="宋体" w:hAnsi="宋体" w:eastAsia="宋体" w:cs="宋体"/>
                <w:b w:val="0"/>
                <w:color w:val="000000"/>
                <w:sz w:val="24"/>
                <w:szCs w:val="24"/>
              </w:rPr>
              <w:t>具有本项目投标产品自主知识产权，可提供投标产品软件著作权证书扫描件加盖公章得3分，不提供不得分。</w:t>
            </w:r>
          </w:p>
        </w:tc>
      </w:tr>
      <w:tr w14:paraId="1E54053A">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2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73BB9B">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p>
        </w:tc>
        <w:tc>
          <w:tcPr>
            <w:tcW w:w="5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F10F96">
            <w:pPr>
              <w:pStyle w:val="31"/>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资质证明</w:t>
            </w:r>
          </w:p>
        </w:tc>
        <w:tc>
          <w:tcPr>
            <w:tcW w:w="5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EFC503">
            <w:pPr>
              <w:pStyle w:val="31"/>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10分</w:t>
            </w:r>
          </w:p>
        </w:tc>
        <w:tc>
          <w:tcPr>
            <w:tcW w:w="3335" w:type="pct"/>
            <w:tcBorders>
              <w:top w:val="single" w:color="000000" w:sz="4" w:space="0"/>
              <w:left w:val="single" w:color="000000" w:sz="4" w:space="0"/>
              <w:bottom w:val="single" w:color="000000" w:sz="4" w:space="0"/>
              <w:right w:val="single" w:color="000000" w:sz="4" w:space="0"/>
            </w:tcBorders>
            <w:shd w:val="clear" w:color="auto" w:fill="FFFFFF"/>
          </w:tcPr>
          <w:p w14:paraId="2867D1FA">
            <w:pPr>
              <w:pStyle w:val="31"/>
              <w:pageBreakBefore w:val="0"/>
              <w:widowControl w:val="0"/>
              <w:numPr>
                <w:ilvl w:val="0"/>
                <w:numId w:val="7"/>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供应商具有信息安全服务资质认证CCRC三级或以上证书(2分)</w:t>
            </w:r>
          </w:p>
          <w:p w14:paraId="3F1DD099">
            <w:pPr>
              <w:pStyle w:val="31"/>
              <w:pageBreakBefore w:val="0"/>
              <w:widowControl w:val="0"/>
              <w:numPr>
                <w:ilvl w:val="0"/>
                <w:numId w:val="7"/>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供应商具有知识产权合规管理体系认证证书。</w:t>
            </w:r>
            <w:r>
              <w:rPr>
                <w:rFonts w:hint="eastAsia" w:ascii="宋体" w:hAnsi="宋体" w:eastAsia="宋体" w:cs="宋体"/>
                <w:b w:val="0"/>
                <w:bCs/>
                <w:color w:val="000000"/>
                <w:sz w:val="24"/>
                <w:szCs w:val="24"/>
              </w:rPr>
              <w:t>提供证书复印件和“全国认证认可信息公共服务平台”查询页面截图，未按要求提供不得分。</w:t>
            </w:r>
            <w:r>
              <w:rPr>
                <w:rFonts w:hint="eastAsia" w:ascii="宋体" w:hAnsi="宋体" w:eastAsia="宋体" w:cs="宋体"/>
                <w:b w:val="0"/>
                <w:color w:val="000000"/>
                <w:sz w:val="24"/>
                <w:szCs w:val="24"/>
              </w:rPr>
              <w:t>(2分)</w:t>
            </w:r>
          </w:p>
          <w:p w14:paraId="75D84AC1">
            <w:pPr>
              <w:pStyle w:val="31"/>
              <w:pageBreakBefore w:val="0"/>
              <w:widowControl w:val="0"/>
              <w:numPr>
                <w:ilvl w:val="0"/>
                <w:numId w:val="7"/>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供应商通过软件能力成熟度达到SJ/T 11235 软件能力成熟度模型等级 三级或以上，提供证书复印件及该证书在“全国认证认可信息公共服务平台</w:t>
            </w:r>
            <w:r>
              <w:rPr>
                <w:rFonts w:hint="eastAsia" w:ascii="宋体" w:hAnsi="宋体" w:eastAsia="宋体" w:cs="宋体"/>
                <w:b w:val="0"/>
                <w:bCs/>
                <w:color w:val="000000"/>
                <w:sz w:val="24"/>
                <w:szCs w:val="24"/>
              </w:rPr>
              <w:t>”</w:t>
            </w:r>
            <w:r>
              <w:rPr>
                <w:rFonts w:hint="eastAsia" w:ascii="宋体" w:hAnsi="宋体" w:eastAsia="宋体" w:cs="宋体"/>
                <w:b w:val="0"/>
                <w:color w:val="000000"/>
                <w:sz w:val="24"/>
                <w:szCs w:val="24"/>
              </w:rPr>
              <w:t>查询的截图，未按要求提供不得分。（2分）</w:t>
            </w:r>
          </w:p>
          <w:p w14:paraId="05B8D1C4">
            <w:pPr>
              <w:pStyle w:val="31"/>
              <w:pageBreakBefore w:val="0"/>
              <w:widowControl w:val="0"/>
              <w:numPr>
                <w:ilvl w:val="0"/>
                <w:numId w:val="7"/>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供应商具备ISO9001质量管理体系认证证书、ISO20000信息技术服务管理体系认证证书及ISO27001信息安全管理体系认证证书。（全部提供得</w:t>
            </w:r>
            <w:r>
              <w:rPr>
                <w:rFonts w:hint="eastAsia" w:hAnsi="宋体" w:eastAsia="宋体" w:cs="宋体"/>
                <w:b w:val="0"/>
                <w:color w:val="000000"/>
                <w:sz w:val="24"/>
                <w:szCs w:val="24"/>
                <w:lang w:val="en-US" w:eastAsia="zh-CN"/>
              </w:rPr>
              <w:t>4</w:t>
            </w:r>
            <w:r>
              <w:rPr>
                <w:rFonts w:hint="eastAsia" w:ascii="宋体" w:hAnsi="宋体" w:eastAsia="宋体" w:cs="宋体"/>
                <w:b w:val="0"/>
                <w:color w:val="000000"/>
                <w:sz w:val="24"/>
                <w:szCs w:val="24"/>
              </w:rPr>
              <w:t>分，缺少任意一项或不提供不得分）</w:t>
            </w:r>
          </w:p>
        </w:tc>
      </w:tr>
      <w:tr w14:paraId="16E1AB11">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2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593E51">
            <w:pPr>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p>
        </w:tc>
        <w:tc>
          <w:tcPr>
            <w:tcW w:w="5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B85E67">
            <w:pPr>
              <w:pStyle w:val="31"/>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项目经验证明</w:t>
            </w:r>
          </w:p>
        </w:tc>
        <w:tc>
          <w:tcPr>
            <w:tcW w:w="5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0A5900">
            <w:pPr>
              <w:pStyle w:val="31"/>
              <w:pageBreakBefore w:val="0"/>
              <w:widowControl w:val="0"/>
              <w:kinsoku/>
              <w:wordWrap/>
              <w:overflowPunct/>
              <w:topLinePunct w:val="0"/>
              <w:bidi w:val="0"/>
              <w:snapToGrid/>
              <w:spacing w:line="240" w:lineRule="auto"/>
              <w:ind w:left="0" w:leftChars="0" w:right="0" w:rightChars="0" w:firstLine="0" w:firstLineChars="0"/>
              <w:jc w:val="center"/>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12分</w:t>
            </w:r>
          </w:p>
        </w:tc>
        <w:tc>
          <w:tcPr>
            <w:tcW w:w="3335" w:type="pct"/>
            <w:tcBorders>
              <w:top w:val="single" w:color="000000" w:sz="4" w:space="0"/>
              <w:left w:val="single" w:color="000000" w:sz="4" w:space="0"/>
              <w:bottom w:val="single" w:color="000000" w:sz="4" w:space="0"/>
              <w:right w:val="single" w:color="000000" w:sz="4" w:space="0"/>
            </w:tcBorders>
            <w:shd w:val="clear" w:color="auto" w:fill="FFFFFF"/>
          </w:tcPr>
          <w:p w14:paraId="36054F0F">
            <w:pPr>
              <w:pStyle w:val="31"/>
              <w:pageBreakBefore w:val="0"/>
              <w:widowControl w:val="0"/>
              <w:numPr>
                <w:ilvl w:val="0"/>
                <w:numId w:val="8"/>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202</w:t>
            </w:r>
            <w:r>
              <w:rPr>
                <w:rFonts w:hint="eastAsia" w:ascii="宋体" w:hAnsi="宋体" w:eastAsia="宋体" w:cs="宋体"/>
                <w:b w:val="0"/>
                <w:color w:val="000000"/>
                <w:sz w:val="24"/>
                <w:szCs w:val="24"/>
                <w:lang w:val="en-US" w:eastAsia="zh-CN"/>
              </w:rPr>
              <w:t>3</w:t>
            </w:r>
            <w:r>
              <w:rPr>
                <w:rFonts w:hint="eastAsia" w:ascii="宋体" w:hAnsi="宋体" w:eastAsia="宋体" w:cs="宋体"/>
                <w:b w:val="0"/>
                <w:color w:val="000000"/>
                <w:sz w:val="24"/>
                <w:szCs w:val="24"/>
              </w:rPr>
              <w:t>年至今，</w:t>
            </w:r>
            <w:r>
              <w:rPr>
                <w:rFonts w:hint="eastAsia" w:ascii="宋体" w:hAnsi="宋体" w:eastAsia="宋体" w:cs="宋体"/>
                <w:b w:val="0"/>
                <w:color w:val="000000"/>
                <w:sz w:val="24"/>
                <w:szCs w:val="24"/>
                <w:lang w:val="en-US" w:eastAsia="zh-CN"/>
              </w:rPr>
              <w:t>供应商</w:t>
            </w:r>
            <w:r>
              <w:rPr>
                <w:rFonts w:hint="eastAsia" w:ascii="宋体" w:hAnsi="宋体" w:eastAsia="宋体" w:cs="宋体"/>
                <w:b w:val="0"/>
                <w:color w:val="000000"/>
                <w:sz w:val="24"/>
                <w:szCs w:val="24"/>
              </w:rPr>
              <w:t>具有同类项目建设案例：</w:t>
            </w:r>
          </w:p>
          <w:p w14:paraId="6636096A">
            <w:pPr>
              <w:pStyle w:val="31"/>
              <w:pageBreakBefore w:val="0"/>
              <w:widowControl w:val="0"/>
              <w:numPr>
                <w:ilvl w:val="0"/>
                <w:numId w:val="9"/>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不提供不得分</w:t>
            </w:r>
            <w:r>
              <w:rPr>
                <w:rFonts w:hint="eastAsia" w:hAnsi="宋体" w:eastAsia="宋体" w:cs="宋体"/>
                <w:b w:val="0"/>
                <w:color w:val="000000"/>
                <w:sz w:val="24"/>
                <w:szCs w:val="24"/>
                <w:lang w:eastAsia="zh-CN"/>
              </w:rPr>
              <w:t>；</w:t>
            </w:r>
          </w:p>
          <w:p w14:paraId="04B6C82C">
            <w:pPr>
              <w:pStyle w:val="31"/>
              <w:pageBreakBefore w:val="0"/>
              <w:widowControl w:val="0"/>
              <w:numPr>
                <w:ilvl w:val="0"/>
                <w:numId w:val="9"/>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1个≤提供建设案例＜3个，得1分；</w:t>
            </w:r>
          </w:p>
          <w:p w14:paraId="7329EBAA">
            <w:pPr>
              <w:pStyle w:val="31"/>
              <w:pageBreakBefore w:val="0"/>
              <w:widowControl w:val="0"/>
              <w:numPr>
                <w:ilvl w:val="0"/>
                <w:numId w:val="9"/>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3个≤提供建设案例＜6个，得2分；</w:t>
            </w:r>
          </w:p>
          <w:p w14:paraId="2A42D4FE">
            <w:pPr>
              <w:pStyle w:val="31"/>
              <w:pageBreakBefore w:val="0"/>
              <w:widowControl w:val="0"/>
              <w:numPr>
                <w:ilvl w:val="0"/>
                <w:numId w:val="9"/>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提供建设案例≥6个，得4分。</w:t>
            </w:r>
          </w:p>
          <w:p w14:paraId="60F1CE0B">
            <w:pPr>
              <w:pStyle w:val="31"/>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评分依据：提供合同关键页及项目的最终用户(医院)的验收单复印件作为证明材料。</w:t>
            </w:r>
          </w:p>
          <w:p w14:paraId="377A578F">
            <w:pPr>
              <w:pStyle w:val="31"/>
              <w:pageBreakBefore w:val="0"/>
              <w:widowControl w:val="0"/>
              <w:numPr>
                <w:ilvl w:val="0"/>
                <w:numId w:val="8"/>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val="en-US" w:eastAsia="zh-CN"/>
              </w:rPr>
              <w:t>供应商</w:t>
            </w:r>
            <w:r>
              <w:rPr>
                <w:rFonts w:hint="eastAsia" w:ascii="宋体" w:hAnsi="宋体" w:eastAsia="宋体" w:cs="宋体"/>
                <w:b w:val="0"/>
                <w:color w:val="000000"/>
                <w:sz w:val="24"/>
                <w:szCs w:val="24"/>
              </w:rPr>
              <w:t>具有成功通过高级别电子病历评级用户的同类项目建设案例：</w:t>
            </w:r>
          </w:p>
          <w:p w14:paraId="6B7DE170">
            <w:pPr>
              <w:pStyle w:val="31"/>
              <w:pageBreakBefore w:val="0"/>
              <w:widowControl w:val="0"/>
              <w:numPr>
                <w:ilvl w:val="0"/>
                <w:numId w:val="10"/>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每提供一个5级案例得1分；</w:t>
            </w:r>
          </w:p>
          <w:p w14:paraId="573E7362">
            <w:pPr>
              <w:pStyle w:val="31"/>
              <w:pageBreakBefore w:val="0"/>
              <w:widowControl w:val="0"/>
              <w:numPr>
                <w:ilvl w:val="0"/>
                <w:numId w:val="10"/>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每提供一个6级案例得2分；</w:t>
            </w:r>
          </w:p>
          <w:p w14:paraId="11DD4D72">
            <w:pPr>
              <w:pStyle w:val="31"/>
              <w:pageBreakBefore w:val="0"/>
              <w:widowControl w:val="0"/>
              <w:numPr>
                <w:ilvl w:val="0"/>
                <w:numId w:val="10"/>
              </w:numPr>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每提供一个7级或以上案例得3分；</w:t>
            </w:r>
          </w:p>
          <w:p w14:paraId="71F0D5E5">
            <w:pPr>
              <w:pStyle w:val="31"/>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上述案例</w:t>
            </w:r>
            <w:r>
              <w:rPr>
                <w:rFonts w:hint="eastAsia" w:ascii="宋体" w:hAnsi="宋体" w:eastAsia="宋体" w:cs="宋体"/>
                <w:b w:val="0"/>
                <w:color w:val="000000"/>
                <w:sz w:val="24"/>
                <w:szCs w:val="24"/>
                <w:highlight w:val="none"/>
                <w:lang w:val="en-US" w:eastAsia="zh-CN"/>
              </w:rPr>
              <w:t>可重叠</w:t>
            </w:r>
            <w:r>
              <w:rPr>
                <w:rFonts w:hint="eastAsia" w:ascii="宋体" w:hAnsi="宋体" w:eastAsia="宋体" w:cs="宋体"/>
                <w:b w:val="0"/>
                <w:color w:val="000000"/>
                <w:sz w:val="24"/>
                <w:szCs w:val="24"/>
              </w:rPr>
              <w:t>累计计分，最高得8分。</w:t>
            </w:r>
          </w:p>
          <w:p w14:paraId="3F4A96F8">
            <w:pPr>
              <w:pStyle w:val="31"/>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评分依据：提供①国家卫生健康委公布的高级别电子病历评级通过的公告截图，截图中须清晰体现出案例医院名字；②项目合同关键页和最终用户(医院)的项目验收单复印件作为证明材料。</w:t>
            </w:r>
          </w:p>
          <w:p w14:paraId="2B8E8DC6">
            <w:pPr>
              <w:pStyle w:val="31"/>
              <w:pageBreakBefore w:val="0"/>
              <w:widowControl w:val="0"/>
              <w:kinsoku/>
              <w:wordWrap/>
              <w:overflowPunct/>
              <w:topLinePunct w:val="0"/>
              <w:bidi w:val="0"/>
              <w:snapToGrid/>
              <w:spacing w:line="240" w:lineRule="auto"/>
              <w:ind w:left="0" w:leftChars="0" w:right="0" w:rightChars="0" w:firstLine="0" w:firstLineChars="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注：同类项目是指：合理用药相关系统。</w:t>
            </w:r>
          </w:p>
        </w:tc>
      </w:tr>
    </w:tbl>
    <w:p w14:paraId="4FAA898C">
      <w:pPr>
        <w:pageBreakBefore w:val="0"/>
        <w:widowControl w:val="0"/>
        <w:kinsoku/>
        <w:wordWrap/>
        <w:overflowPunct/>
        <w:topLinePunct w:val="0"/>
        <w:bidi w:val="0"/>
        <w:snapToGrid/>
        <w:spacing w:line="240" w:lineRule="auto"/>
        <w:ind w:left="0" w:leftChars="0" w:right="0" w:rightChars="0"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注：投标文件中所有证书、证明文件必须是真实有效的；未按要求提供证书证明等资料的，相应条款不得分。</w:t>
      </w:r>
      <w:bookmarkEnd w:id="0"/>
      <w:bookmarkEnd w:id="1"/>
    </w:p>
    <w:sectPr>
      <w:footerReference r:id="rId6" w:type="first"/>
      <w:footerReference r:id="rId5" w:type="default"/>
      <w:pgSz w:w="11906" w:h="16838"/>
      <w:pgMar w:top="1440" w:right="1800" w:bottom="1440" w:left="1800" w:header="720" w:footer="720" w:gutter="0"/>
      <w:pgNumType w:fmt="decimal" w:start="1"/>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50EC891-CFA2-43A2-93BC-5D63392B23D8}"/>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2" w:fontKey="{FD17EBFC-13D7-46A9-B396-8B9A07D05AD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CE05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00F2DB">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C00F2DB">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0EB92">
    <w:pPr>
      <w:pStyle w:val="11"/>
      <w:jc w:val="center"/>
    </w:pPr>
  </w:p>
  <w:p w14:paraId="600A129C">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5784C9"/>
    <w:multiLevelType w:val="singleLevel"/>
    <w:tmpl w:val="A85784C9"/>
    <w:lvl w:ilvl="0" w:tentative="0">
      <w:start w:val="1"/>
      <w:numFmt w:val="decimal"/>
      <w:suff w:val="nothing"/>
      <w:lvlText w:val="（%1）"/>
      <w:lvlJc w:val="left"/>
    </w:lvl>
  </w:abstractNum>
  <w:abstractNum w:abstractNumId="1">
    <w:nsid w:val="CB5792CD"/>
    <w:multiLevelType w:val="singleLevel"/>
    <w:tmpl w:val="CB5792CD"/>
    <w:lvl w:ilvl="0" w:tentative="0">
      <w:start w:val="1"/>
      <w:numFmt w:val="decimal"/>
      <w:suff w:val="nothing"/>
      <w:lvlText w:val="（%1）"/>
      <w:lvlJc w:val="left"/>
    </w:lvl>
  </w:abstractNum>
  <w:abstractNum w:abstractNumId="2">
    <w:nsid w:val="035D5B69"/>
    <w:multiLevelType w:val="singleLevel"/>
    <w:tmpl w:val="035D5B69"/>
    <w:lvl w:ilvl="0" w:tentative="0">
      <w:start w:val="1"/>
      <w:numFmt w:val="decimal"/>
      <w:suff w:val="nothing"/>
      <w:lvlText w:val="（%1）"/>
      <w:lvlJc w:val="left"/>
    </w:lvl>
  </w:abstractNum>
  <w:abstractNum w:abstractNumId="3">
    <w:nsid w:val="0CDD34D2"/>
    <w:multiLevelType w:val="multilevel"/>
    <w:tmpl w:val="0CDD34D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8F0B7F5"/>
    <w:multiLevelType w:val="singleLevel"/>
    <w:tmpl w:val="28F0B7F5"/>
    <w:lvl w:ilvl="0" w:tentative="0">
      <w:start w:val="1"/>
      <w:numFmt w:val="decimal"/>
      <w:suff w:val="nothing"/>
      <w:lvlText w:val="（%1）"/>
      <w:lvlJc w:val="left"/>
    </w:lvl>
  </w:abstractNum>
  <w:abstractNum w:abstractNumId="5">
    <w:nsid w:val="37F902D6"/>
    <w:multiLevelType w:val="multilevel"/>
    <w:tmpl w:val="37F902D6"/>
    <w:lvl w:ilvl="0" w:tentative="0">
      <w:start w:val="1"/>
      <w:numFmt w:val="decimal"/>
      <w:suff w:val="space"/>
      <w:lvlText w:val="%1、"/>
      <w:lvlJc w:val="left"/>
      <w:pPr>
        <w:ind w:left="420" w:hanging="420"/>
      </w:pPr>
      <w:rPr>
        <w:rFonts w:hint="eastAsia"/>
        <w:b w:val="0"/>
        <w:bCs/>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8FF50CB"/>
    <w:multiLevelType w:val="multilevel"/>
    <w:tmpl w:val="38FF50CB"/>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43DC0987"/>
    <w:multiLevelType w:val="multilevel"/>
    <w:tmpl w:val="43DC0987"/>
    <w:lvl w:ilvl="0" w:tentative="0">
      <w:start w:val="1"/>
      <w:numFmt w:val="decimal"/>
      <w:lvlText w:val="%1."/>
      <w:lvlJc w:val="left"/>
      <w:rPr>
        <w:rFonts w:ascii="仿宋" w:hAnsi="仿宋" w:eastAsia="仿宋"/>
        <w:b/>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decimal"/>
      <w:lvlText w:val="%1.%2."/>
      <w:lvlJc w:val="left"/>
      <w:pPr>
        <w:ind w:left="0" w:firstLine="0"/>
      </w:pPr>
      <w:rPr>
        <w:rFonts w:hint="eastAsia" w:ascii="仿宋" w:hAnsi="仿宋" w:eastAsia="仿宋"/>
        <w:b/>
        <w:color w:val="auto"/>
      </w:rPr>
    </w:lvl>
    <w:lvl w:ilvl="2" w:tentative="0">
      <w:start w:val="1"/>
      <w:numFmt w:val="decimal"/>
      <w:lvlText w:val="%1.%2.%3."/>
      <w:lvlJc w:val="left"/>
      <w:pPr>
        <w:ind w:left="0" w:firstLine="0"/>
      </w:pPr>
      <w:rPr>
        <w:rFonts w:hint="eastAsia" w:ascii="仿宋" w:hAnsi="仿宋" w:eastAsia="仿宋"/>
      </w:rPr>
    </w:lvl>
    <w:lvl w:ilvl="3" w:tentative="0">
      <w:start w:val="1"/>
      <w:numFmt w:val="decimal"/>
      <w:pStyle w:val="6"/>
      <w:lvlText w:val="%1.%2.%3.%4."/>
      <w:lvlJc w:val="left"/>
      <w:pPr>
        <w:ind w:left="0" w:firstLine="0"/>
      </w:pPr>
      <w:rPr>
        <w:rFonts w:hint="eastAsia" w:ascii="仿宋" w:hAnsi="仿宋" w:eastAsia="仿宋"/>
      </w:rPr>
    </w:lvl>
    <w:lvl w:ilvl="4" w:tentative="0">
      <w:start w:val="1"/>
      <w:numFmt w:val="decimal"/>
      <w:pStyle w:val="7"/>
      <w:lvlText w:val="%1.%2.%3.%4.%5."/>
      <w:lvlJc w:val="left"/>
      <w:pPr>
        <w:ind w:left="0" w:firstLine="0"/>
      </w:pPr>
      <w:rPr>
        <w:rFonts w:hint="eastAsia"/>
      </w:rPr>
    </w:lvl>
    <w:lvl w:ilvl="5" w:tentative="0">
      <w:start w:val="1"/>
      <w:numFmt w:val="decimal"/>
      <w:pStyle w:val="8"/>
      <w:lvlText w:val="%1.%2.%3.%4.%5.%6."/>
      <w:lvlJc w:val="left"/>
      <w:pPr>
        <w:ind w:left="0" w:firstLine="0"/>
      </w:pPr>
      <w:rPr>
        <w:rFonts w:hint="eastAsia"/>
      </w:rPr>
    </w:lvl>
    <w:lvl w:ilvl="6" w:tentative="0">
      <w:start w:val="1"/>
      <w:numFmt w:val="decimal"/>
      <w:pStyle w:val="9"/>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8">
    <w:nsid w:val="483847E7"/>
    <w:multiLevelType w:val="multilevel"/>
    <w:tmpl w:val="483847E7"/>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6B70078A"/>
    <w:multiLevelType w:val="multilevel"/>
    <w:tmpl w:val="6B70078A"/>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9"/>
  </w:num>
  <w:num w:numId="3">
    <w:abstractNumId w:val="4"/>
  </w:num>
  <w:num w:numId="4">
    <w:abstractNumId w:val="0"/>
  </w:num>
  <w:num w:numId="5">
    <w:abstractNumId w:val="2"/>
  </w:num>
  <w:num w:numId="6">
    <w:abstractNumId w:val="1"/>
  </w:num>
  <w:num w:numId="7">
    <w:abstractNumId w:val="5"/>
  </w:num>
  <w:num w:numId="8">
    <w:abstractNumId w:val="3"/>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52E"/>
    <w:rsid w:val="00001527"/>
    <w:rsid w:val="000020A1"/>
    <w:rsid w:val="000035A4"/>
    <w:rsid w:val="00003A12"/>
    <w:rsid w:val="00007553"/>
    <w:rsid w:val="000134C7"/>
    <w:rsid w:val="000161AC"/>
    <w:rsid w:val="0002196E"/>
    <w:rsid w:val="00021C22"/>
    <w:rsid w:val="00022709"/>
    <w:rsid w:val="00032C1C"/>
    <w:rsid w:val="000471DE"/>
    <w:rsid w:val="00063A8F"/>
    <w:rsid w:val="00075931"/>
    <w:rsid w:val="000844FC"/>
    <w:rsid w:val="00092C90"/>
    <w:rsid w:val="000A073A"/>
    <w:rsid w:val="000A4DDF"/>
    <w:rsid w:val="000A54B1"/>
    <w:rsid w:val="000A5F1C"/>
    <w:rsid w:val="000B0C7C"/>
    <w:rsid w:val="000B3026"/>
    <w:rsid w:val="000B4451"/>
    <w:rsid w:val="000C2D44"/>
    <w:rsid w:val="000C3358"/>
    <w:rsid w:val="000C64FF"/>
    <w:rsid w:val="000D0C21"/>
    <w:rsid w:val="000D3478"/>
    <w:rsid w:val="000E7452"/>
    <w:rsid w:val="000F07AE"/>
    <w:rsid w:val="000F2518"/>
    <w:rsid w:val="000F569B"/>
    <w:rsid w:val="000F5F18"/>
    <w:rsid w:val="0010356A"/>
    <w:rsid w:val="00106200"/>
    <w:rsid w:val="00106979"/>
    <w:rsid w:val="0012026C"/>
    <w:rsid w:val="00122C1E"/>
    <w:rsid w:val="00124CD2"/>
    <w:rsid w:val="00125893"/>
    <w:rsid w:val="00127361"/>
    <w:rsid w:val="0013507D"/>
    <w:rsid w:val="001448DD"/>
    <w:rsid w:val="00147D61"/>
    <w:rsid w:val="00150588"/>
    <w:rsid w:val="001570D7"/>
    <w:rsid w:val="00172635"/>
    <w:rsid w:val="0018168E"/>
    <w:rsid w:val="00186C56"/>
    <w:rsid w:val="00187E45"/>
    <w:rsid w:val="001B30FA"/>
    <w:rsid w:val="001B47D8"/>
    <w:rsid w:val="001B56B6"/>
    <w:rsid w:val="001C014E"/>
    <w:rsid w:val="001C6177"/>
    <w:rsid w:val="001D01E7"/>
    <w:rsid w:val="001D084D"/>
    <w:rsid w:val="001D0ECA"/>
    <w:rsid w:val="001D157A"/>
    <w:rsid w:val="001D4D52"/>
    <w:rsid w:val="001E2F9A"/>
    <w:rsid w:val="001E56D6"/>
    <w:rsid w:val="001F0CAC"/>
    <w:rsid w:val="001F4134"/>
    <w:rsid w:val="001F4FBD"/>
    <w:rsid w:val="00200B3C"/>
    <w:rsid w:val="00212B4F"/>
    <w:rsid w:val="00226965"/>
    <w:rsid w:val="0023256D"/>
    <w:rsid w:val="0024439F"/>
    <w:rsid w:val="00245CC9"/>
    <w:rsid w:val="00250A95"/>
    <w:rsid w:val="00250FC0"/>
    <w:rsid w:val="002525D4"/>
    <w:rsid w:val="00267923"/>
    <w:rsid w:val="00277969"/>
    <w:rsid w:val="00277E2B"/>
    <w:rsid w:val="00282423"/>
    <w:rsid w:val="002838A6"/>
    <w:rsid w:val="00283C03"/>
    <w:rsid w:val="0028462F"/>
    <w:rsid w:val="00295D2B"/>
    <w:rsid w:val="002A0893"/>
    <w:rsid w:val="002A6B49"/>
    <w:rsid w:val="002B5A34"/>
    <w:rsid w:val="002C69C4"/>
    <w:rsid w:val="002C7726"/>
    <w:rsid w:val="002D06F8"/>
    <w:rsid w:val="002D4DDE"/>
    <w:rsid w:val="002E5EBF"/>
    <w:rsid w:val="002E717F"/>
    <w:rsid w:val="002F5FBB"/>
    <w:rsid w:val="002F7329"/>
    <w:rsid w:val="00302D83"/>
    <w:rsid w:val="0030545F"/>
    <w:rsid w:val="003126B3"/>
    <w:rsid w:val="003259E6"/>
    <w:rsid w:val="00325B55"/>
    <w:rsid w:val="0034386E"/>
    <w:rsid w:val="00351AD4"/>
    <w:rsid w:val="003636C5"/>
    <w:rsid w:val="00364128"/>
    <w:rsid w:val="00375DCE"/>
    <w:rsid w:val="00384D1C"/>
    <w:rsid w:val="003A215F"/>
    <w:rsid w:val="003A49C8"/>
    <w:rsid w:val="003B1BCC"/>
    <w:rsid w:val="003B63BC"/>
    <w:rsid w:val="003B7B58"/>
    <w:rsid w:val="003F2AD6"/>
    <w:rsid w:val="003F4456"/>
    <w:rsid w:val="003F77A3"/>
    <w:rsid w:val="00403523"/>
    <w:rsid w:val="00414562"/>
    <w:rsid w:val="00417881"/>
    <w:rsid w:val="00426DC8"/>
    <w:rsid w:val="00427549"/>
    <w:rsid w:val="00433059"/>
    <w:rsid w:val="00445571"/>
    <w:rsid w:val="0044657A"/>
    <w:rsid w:val="00454B5A"/>
    <w:rsid w:val="004600D3"/>
    <w:rsid w:val="00460C98"/>
    <w:rsid w:val="00482E53"/>
    <w:rsid w:val="004927A6"/>
    <w:rsid w:val="00495A96"/>
    <w:rsid w:val="004A09C3"/>
    <w:rsid w:val="004A571B"/>
    <w:rsid w:val="004A64B5"/>
    <w:rsid w:val="004B1585"/>
    <w:rsid w:val="004B43E1"/>
    <w:rsid w:val="004B497E"/>
    <w:rsid w:val="004C01F6"/>
    <w:rsid w:val="004C02EA"/>
    <w:rsid w:val="004C2441"/>
    <w:rsid w:val="004C249F"/>
    <w:rsid w:val="004C521A"/>
    <w:rsid w:val="004D3D91"/>
    <w:rsid w:val="004D3DE5"/>
    <w:rsid w:val="004D410A"/>
    <w:rsid w:val="004E075B"/>
    <w:rsid w:val="004E37ED"/>
    <w:rsid w:val="004F4959"/>
    <w:rsid w:val="00500CF8"/>
    <w:rsid w:val="005015CD"/>
    <w:rsid w:val="005038E4"/>
    <w:rsid w:val="005128E3"/>
    <w:rsid w:val="00513D2A"/>
    <w:rsid w:val="00515851"/>
    <w:rsid w:val="00534AF3"/>
    <w:rsid w:val="005350CF"/>
    <w:rsid w:val="005421C6"/>
    <w:rsid w:val="0054563D"/>
    <w:rsid w:val="00546C25"/>
    <w:rsid w:val="0054717C"/>
    <w:rsid w:val="0057014E"/>
    <w:rsid w:val="005849D9"/>
    <w:rsid w:val="00593A91"/>
    <w:rsid w:val="0059661D"/>
    <w:rsid w:val="005A2448"/>
    <w:rsid w:val="005A3B36"/>
    <w:rsid w:val="005B3C64"/>
    <w:rsid w:val="005C11F8"/>
    <w:rsid w:val="005C3257"/>
    <w:rsid w:val="005D4A53"/>
    <w:rsid w:val="005D5573"/>
    <w:rsid w:val="005E5022"/>
    <w:rsid w:val="005E6114"/>
    <w:rsid w:val="005F1574"/>
    <w:rsid w:val="0061287A"/>
    <w:rsid w:val="0061558D"/>
    <w:rsid w:val="00624324"/>
    <w:rsid w:val="006314D0"/>
    <w:rsid w:val="00634555"/>
    <w:rsid w:val="00637039"/>
    <w:rsid w:val="00645260"/>
    <w:rsid w:val="00656880"/>
    <w:rsid w:val="00656886"/>
    <w:rsid w:val="00657BE4"/>
    <w:rsid w:val="0066771A"/>
    <w:rsid w:val="006677A5"/>
    <w:rsid w:val="0067046A"/>
    <w:rsid w:val="006731FE"/>
    <w:rsid w:val="00673DA8"/>
    <w:rsid w:val="00674169"/>
    <w:rsid w:val="0068702D"/>
    <w:rsid w:val="0069172D"/>
    <w:rsid w:val="006954C8"/>
    <w:rsid w:val="00697524"/>
    <w:rsid w:val="0069798D"/>
    <w:rsid w:val="006A3293"/>
    <w:rsid w:val="006C750A"/>
    <w:rsid w:val="006D0597"/>
    <w:rsid w:val="006D07A1"/>
    <w:rsid w:val="006D2579"/>
    <w:rsid w:val="006D460D"/>
    <w:rsid w:val="006E5BF8"/>
    <w:rsid w:val="006E7571"/>
    <w:rsid w:val="006F2D15"/>
    <w:rsid w:val="006F56B0"/>
    <w:rsid w:val="00703F17"/>
    <w:rsid w:val="00712768"/>
    <w:rsid w:val="00722CC7"/>
    <w:rsid w:val="007237F3"/>
    <w:rsid w:val="007277BB"/>
    <w:rsid w:val="00741DCA"/>
    <w:rsid w:val="007469EE"/>
    <w:rsid w:val="00756EF4"/>
    <w:rsid w:val="007605F9"/>
    <w:rsid w:val="0076297A"/>
    <w:rsid w:val="00763AD0"/>
    <w:rsid w:val="00767376"/>
    <w:rsid w:val="00771165"/>
    <w:rsid w:val="007743AA"/>
    <w:rsid w:val="00774D78"/>
    <w:rsid w:val="00782358"/>
    <w:rsid w:val="00787C5F"/>
    <w:rsid w:val="007928B4"/>
    <w:rsid w:val="00794D7A"/>
    <w:rsid w:val="007A4FFA"/>
    <w:rsid w:val="007A518C"/>
    <w:rsid w:val="007A7051"/>
    <w:rsid w:val="007B1B6D"/>
    <w:rsid w:val="007C2FFF"/>
    <w:rsid w:val="007C554E"/>
    <w:rsid w:val="007C6FFA"/>
    <w:rsid w:val="007D5ED1"/>
    <w:rsid w:val="007D619F"/>
    <w:rsid w:val="007E04F0"/>
    <w:rsid w:val="007E7253"/>
    <w:rsid w:val="007F7981"/>
    <w:rsid w:val="00802D51"/>
    <w:rsid w:val="008067BA"/>
    <w:rsid w:val="008108BB"/>
    <w:rsid w:val="008145C7"/>
    <w:rsid w:val="00816E02"/>
    <w:rsid w:val="0083297B"/>
    <w:rsid w:val="00864E47"/>
    <w:rsid w:val="008748F8"/>
    <w:rsid w:val="00890C8A"/>
    <w:rsid w:val="0089243F"/>
    <w:rsid w:val="0089250D"/>
    <w:rsid w:val="008A358A"/>
    <w:rsid w:val="008B109D"/>
    <w:rsid w:val="008B2B6E"/>
    <w:rsid w:val="008B412D"/>
    <w:rsid w:val="008B6C3F"/>
    <w:rsid w:val="008C3B0C"/>
    <w:rsid w:val="008D220C"/>
    <w:rsid w:val="008D4914"/>
    <w:rsid w:val="008E0AD6"/>
    <w:rsid w:val="008E7B98"/>
    <w:rsid w:val="008F1570"/>
    <w:rsid w:val="00904139"/>
    <w:rsid w:val="00907F10"/>
    <w:rsid w:val="009103F7"/>
    <w:rsid w:val="00911673"/>
    <w:rsid w:val="00911F4A"/>
    <w:rsid w:val="009131C7"/>
    <w:rsid w:val="00917C5F"/>
    <w:rsid w:val="00924555"/>
    <w:rsid w:val="00927F71"/>
    <w:rsid w:val="00933810"/>
    <w:rsid w:val="00936D15"/>
    <w:rsid w:val="00942814"/>
    <w:rsid w:val="00944BE2"/>
    <w:rsid w:val="00946FDC"/>
    <w:rsid w:val="00951C8C"/>
    <w:rsid w:val="009558A0"/>
    <w:rsid w:val="00957CA0"/>
    <w:rsid w:val="00964141"/>
    <w:rsid w:val="0096704E"/>
    <w:rsid w:val="00967176"/>
    <w:rsid w:val="00971834"/>
    <w:rsid w:val="00991337"/>
    <w:rsid w:val="00991B04"/>
    <w:rsid w:val="009B5237"/>
    <w:rsid w:val="009C7FC0"/>
    <w:rsid w:val="009D7C65"/>
    <w:rsid w:val="009E6F63"/>
    <w:rsid w:val="009F04CE"/>
    <w:rsid w:val="009F48B9"/>
    <w:rsid w:val="00A04891"/>
    <w:rsid w:val="00A0768A"/>
    <w:rsid w:val="00A2030C"/>
    <w:rsid w:val="00A352F7"/>
    <w:rsid w:val="00A35353"/>
    <w:rsid w:val="00A4499F"/>
    <w:rsid w:val="00A53CD5"/>
    <w:rsid w:val="00A54D9A"/>
    <w:rsid w:val="00A5537A"/>
    <w:rsid w:val="00A7259C"/>
    <w:rsid w:val="00A82301"/>
    <w:rsid w:val="00A9552E"/>
    <w:rsid w:val="00A958BF"/>
    <w:rsid w:val="00AB4FF5"/>
    <w:rsid w:val="00AB5B0C"/>
    <w:rsid w:val="00AB74CD"/>
    <w:rsid w:val="00AB77DD"/>
    <w:rsid w:val="00AB7A1B"/>
    <w:rsid w:val="00AC3BF8"/>
    <w:rsid w:val="00AC5337"/>
    <w:rsid w:val="00AD07D2"/>
    <w:rsid w:val="00AD5781"/>
    <w:rsid w:val="00AE4B38"/>
    <w:rsid w:val="00AE75EF"/>
    <w:rsid w:val="00AF4363"/>
    <w:rsid w:val="00B04A34"/>
    <w:rsid w:val="00B076B1"/>
    <w:rsid w:val="00B10854"/>
    <w:rsid w:val="00B25A18"/>
    <w:rsid w:val="00B25E6F"/>
    <w:rsid w:val="00B2727F"/>
    <w:rsid w:val="00B55484"/>
    <w:rsid w:val="00B64F2D"/>
    <w:rsid w:val="00B70220"/>
    <w:rsid w:val="00B87DA6"/>
    <w:rsid w:val="00B91600"/>
    <w:rsid w:val="00BA047C"/>
    <w:rsid w:val="00BA294F"/>
    <w:rsid w:val="00BB72DF"/>
    <w:rsid w:val="00BC0145"/>
    <w:rsid w:val="00BC068D"/>
    <w:rsid w:val="00BC1E0E"/>
    <w:rsid w:val="00BD34A1"/>
    <w:rsid w:val="00BF7971"/>
    <w:rsid w:val="00C037A8"/>
    <w:rsid w:val="00C1428B"/>
    <w:rsid w:val="00C2080A"/>
    <w:rsid w:val="00C275A3"/>
    <w:rsid w:val="00C4249A"/>
    <w:rsid w:val="00C4387C"/>
    <w:rsid w:val="00C536EF"/>
    <w:rsid w:val="00C54DCB"/>
    <w:rsid w:val="00C6054C"/>
    <w:rsid w:val="00C64AF9"/>
    <w:rsid w:val="00C657F5"/>
    <w:rsid w:val="00C75517"/>
    <w:rsid w:val="00C9173C"/>
    <w:rsid w:val="00C95099"/>
    <w:rsid w:val="00CA20B7"/>
    <w:rsid w:val="00CB037C"/>
    <w:rsid w:val="00CB0F18"/>
    <w:rsid w:val="00CC6CB0"/>
    <w:rsid w:val="00CE11AF"/>
    <w:rsid w:val="00CE402D"/>
    <w:rsid w:val="00CE6073"/>
    <w:rsid w:val="00CE688D"/>
    <w:rsid w:val="00D044C6"/>
    <w:rsid w:val="00D2321C"/>
    <w:rsid w:val="00D36387"/>
    <w:rsid w:val="00D41017"/>
    <w:rsid w:val="00D52727"/>
    <w:rsid w:val="00D54B5A"/>
    <w:rsid w:val="00D551C5"/>
    <w:rsid w:val="00D6050D"/>
    <w:rsid w:val="00D61FA4"/>
    <w:rsid w:val="00D705B7"/>
    <w:rsid w:val="00D7107E"/>
    <w:rsid w:val="00D80050"/>
    <w:rsid w:val="00D823A2"/>
    <w:rsid w:val="00D831B6"/>
    <w:rsid w:val="00DA427D"/>
    <w:rsid w:val="00DA4FE4"/>
    <w:rsid w:val="00DA67CE"/>
    <w:rsid w:val="00DB3BF3"/>
    <w:rsid w:val="00DB4465"/>
    <w:rsid w:val="00DC02E8"/>
    <w:rsid w:val="00DE05CB"/>
    <w:rsid w:val="00DE30F4"/>
    <w:rsid w:val="00DE5146"/>
    <w:rsid w:val="00DF427E"/>
    <w:rsid w:val="00E0361A"/>
    <w:rsid w:val="00E140C9"/>
    <w:rsid w:val="00E2706C"/>
    <w:rsid w:val="00E37402"/>
    <w:rsid w:val="00E57D61"/>
    <w:rsid w:val="00E60E9B"/>
    <w:rsid w:val="00E6619D"/>
    <w:rsid w:val="00E80EB9"/>
    <w:rsid w:val="00E85AC0"/>
    <w:rsid w:val="00EA3AA9"/>
    <w:rsid w:val="00ED1BE0"/>
    <w:rsid w:val="00ED418B"/>
    <w:rsid w:val="00EE6BEB"/>
    <w:rsid w:val="00EF38DD"/>
    <w:rsid w:val="00EF64F1"/>
    <w:rsid w:val="00F0210F"/>
    <w:rsid w:val="00F049B0"/>
    <w:rsid w:val="00F068AE"/>
    <w:rsid w:val="00F13D29"/>
    <w:rsid w:val="00F173B8"/>
    <w:rsid w:val="00F37601"/>
    <w:rsid w:val="00F433C2"/>
    <w:rsid w:val="00F4504E"/>
    <w:rsid w:val="00F46974"/>
    <w:rsid w:val="00F555CB"/>
    <w:rsid w:val="00F57021"/>
    <w:rsid w:val="00F63EA1"/>
    <w:rsid w:val="00F72419"/>
    <w:rsid w:val="00F765F0"/>
    <w:rsid w:val="00F8451A"/>
    <w:rsid w:val="00F93332"/>
    <w:rsid w:val="00FA139B"/>
    <w:rsid w:val="00FA6B59"/>
    <w:rsid w:val="00FA7991"/>
    <w:rsid w:val="00FB1630"/>
    <w:rsid w:val="00FB2677"/>
    <w:rsid w:val="00FB4E80"/>
    <w:rsid w:val="00FC082E"/>
    <w:rsid w:val="00FC7B00"/>
    <w:rsid w:val="00FF26E7"/>
    <w:rsid w:val="01CA5CC8"/>
    <w:rsid w:val="027F4D04"/>
    <w:rsid w:val="02866093"/>
    <w:rsid w:val="08457E4F"/>
    <w:rsid w:val="084C38DA"/>
    <w:rsid w:val="0D353E12"/>
    <w:rsid w:val="0E3C1CFB"/>
    <w:rsid w:val="10B04931"/>
    <w:rsid w:val="11406013"/>
    <w:rsid w:val="117A5014"/>
    <w:rsid w:val="13767A5D"/>
    <w:rsid w:val="152B22BF"/>
    <w:rsid w:val="15A07014"/>
    <w:rsid w:val="17367C2F"/>
    <w:rsid w:val="18BC23B6"/>
    <w:rsid w:val="19625331"/>
    <w:rsid w:val="1B364BB8"/>
    <w:rsid w:val="1C48140E"/>
    <w:rsid w:val="1CD449A0"/>
    <w:rsid w:val="1D517704"/>
    <w:rsid w:val="1DD97567"/>
    <w:rsid w:val="203767C6"/>
    <w:rsid w:val="21442F49"/>
    <w:rsid w:val="22C5455D"/>
    <w:rsid w:val="234731C4"/>
    <w:rsid w:val="23EB2FAD"/>
    <w:rsid w:val="25275F7D"/>
    <w:rsid w:val="25457290"/>
    <w:rsid w:val="255F16B1"/>
    <w:rsid w:val="26090141"/>
    <w:rsid w:val="27901D6C"/>
    <w:rsid w:val="289D2704"/>
    <w:rsid w:val="28DE3C83"/>
    <w:rsid w:val="2A4346E5"/>
    <w:rsid w:val="2ABE7CDB"/>
    <w:rsid w:val="2ACF5F79"/>
    <w:rsid w:val="2B8925CC"/>
    <w:rsid w:val="2C792640"/>
    <w:rsid w:val="2DAF3E40"/>
    <w:rsid w:val="2EB8750D"/>
    <w:rsid w:val="2FCC6F2B"/>
    <w:rsid w:val="301F46A2"/>
    <w:rsid w:val="326A2A2B"/>
    <w:rsid w:val="329C0F6F"/>
    <w:rsid w:val="32E92107"/>
    <w:rsid w:val="374455F9"/>
    <w:rsid w:val="37985945"/>
    <w:rsid w:val="39291711"/>
    <w:rsid w:val="39643D30"/>
    <w:rsid w:val="3982065B"/>
    <w:rsid w:val="3A726E4E"/>
    <w:rsid w:val="3CFF6EF1"/>
    <w:rsid w:val="3F696545"/>
    <w:rsid w:val="404A3285"/>
    <w:rsid w:val="42CD0B98"/>
    <w:rsid w:val="43CF6B92"/>
    <w:rsid w:val="453E4964"/>
    <w:rsid w:val="45A35BE1"/>
    <w:rsid w:val="45F65CF5"/>
    <w:rsid w:val="47084895"/>
    <w:rsid w:val="48151860"/>
    <w:rsid w:val="48931F3C"/>
    <w:rsid w:val="492739A7"/>
    <w:rsid w:val="492E6109"/>
    <w:rsid w:val="494476DB"/>
    <w:rsid w:val="4C266675"/>
    <w:rsid w:val="4CF431C6"/>
    <w:rsid w:val="4D06264B"/>
    <w:rsid w:val="4E4D7031"/>
    <w:rsid w:val="4EF23735"/>
    <w:rsid w:val="50720FD1"/>
    <w:rsid w:val="51D4137A"/>
    <w:rsid w:val="54882B71"/>
    <w:rsid w:val="54992FD0"/>
    <w:rsid w:val="54C16083"/>
    <w:rsid w:val="55172147"/>
    <w:rsid w:val="5BF15E70"/>
    <w:rsid w:val="5CB14C2F"/>
    <w:rsid w:val="5D025E6F"/>
    <w:rsid w:val="61AF1358"/>
    <w:rsid w:val="62A50D92"/>
    <w:rsid w:val="62D022B3"/>
    <w:rsid w:val="647E189B"/>
    <w:rsid w:val="65C61007"/>
    <w:rsid w:val="69C441F4"/>
    <w:rsid w:val="6AA66AB5"/>
    <w:rsid w:val="6AC36259"/>
    <w:rsid w:val="6C2B055A"/>
    <w:rsid w:val="6CCD1611"/>
    <w:rsid w:val="6D366E53"/>
    <w:rsid w:val="6F9E1043"/>
    <w:rsid w:val="711B1649"/>
    <w:rsid w:val="712B4B58"/>
    <w:rsid w:val="716B19C5"/>
    <w:rsid w:val="71A16BBB"/>
    <w:rsid w:val="72015C02"/>
    <w:rsid w:val="730D6C0C"/>
    <w:rsid w:val="73D50905"/>
    <w:rsid w:val="74C341DC"/>
    <w:rsid w:val="75C86F9F"/>
    <w:rsid w:val="76535179"/>
    <w:rsid w:val="765E361A"/>
    <w:rsid w:val="76CA6BC2"/>
    <w:rsid w:val="76F247E5"/>
    <w:rsid w:val="77150D7E"/>
    <w:rsid w:val="771A7603"/>
    <w:rsid w:val="7771703D"/>
    <w:rsid w:val="77AC2AE9"/>
    <w:rsid w:val="786C1733"/>
    <w:rsid w:val="7B6C0247"/>
    <w:rsid w:val="7BBC2F7D"/>
    <w:rsid w:val="7CDF6C14"/>
    <w:rsid w:val="7D584F27"/>
    <w:rsid w:val="7DE92023"/>
    <w:rsid w:val="7DE950C5"/>
    <w:rsid w:val="7E265025"/>
    <w:rsid w:val="7EF7637D"/>
    <w:rsid w:val="7F2C2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eastAsia="仿宋" w:asciiTheme="minorHAnsi" w:hAnsiTheme="minorHAnsi" w:cstheme="minorBidi"/>
      <w:kern w:val="2"/>
      <w:sz w:val="24"/>
      <w:szCs w:val="22"/>
      <w:lang w:val="en-US" w:eastAsia="zh-CN" w:bidi="ar-SA"/>
    </w:rPr>
  </w:style>
  <w:style w:type="paragraph" w:styleId="2">
    <w:name w:val="heading 2"/>
    <w:basedOn w:val="1"/>
    <w:next w:val="1"/>
    <w:link w:val="29"/>
    <w:unhideWhenUsed/>
    <w:qFormat/>
    <w:uiPriority w:val="0"/>
    <w:pPr>
      <w:keepNext/>
      <w:keepLines/>
      <w:spacing w:before="260" w:after="260" w:line="416" w:lineRule="auto"/>
      <w:jc w:val="both"/>
      <w:outlineLvl w:val="1"/>
    </w:pPr>
    <w:rPr>
      <w:rFonts w:ascii="Cambria" w:hAnsi="Cambria" w:eastAsia="宋体" w:cs="Times New Roman"/>
      <w:b/>
      <w:bCs/>
      <w:sz w:val="32"/>
      <w:szCs w:val="32"/>
    </w:rPr>
  </w:style>
  <w:style w:type="paragraph" w:styleId="3">
    <w:name w:val="heading 3"/>
    <w:basedOn w:val="1"/>
    <w:next w:val="1"/>
    <w:link w:val="28"/>
    <w:unhideWhenUsed/>
    <w:qFormat/>
    <w:uiPriority w:val="0"/>
    <w:pPr>
      <w:keepNext/>
      <w:keepLines/>
      <w:spacing w:before="260" w:after="260" w:line="416" w:lineRule="auto"/>
      <w:jc w:val="both"/>
      <w:outlineLvl w:val="2"/>
    </w:pPr>
    <w:rPr>
      <w:rFonts w:ascii="Arial" w:hAnsi="Arial" w:eastAsia="仿宋_GB2312"/>
      <w:b/>
      <w:bCs/>
      <w:sz w:val="32"/>
      <w:szCs w:val="32"/>
    </w:rPr>
  </w:style>
  <w:style w:type="paragraph" w:styleId="4">
    <w:name w:val="heading 4"/>
    <w:basedOn w:val="1"/>
    <w:next w:val="1"/>
    <w:link w:val="18"/>
    <w:unhideWhenUsed/>
    <w:qFormat/>
    <w:uiPriority w:val="9"/>
    <w:pPr>
      <w:keepNext/>
      <w:keepLines/>
      <w:outlineLvl w:val="3"/>
    </w:pPr>
    <w:rPr>
      <w:rFonts w:eastAsia="宋体" w:asciiTheme="majorHAnsi" w:hAnsiTheme="majorHAnsi" w:cstheme="majorBidi"/>
      <w:b/>
      <w:bCs/>
      <w:szCs w:val="28"/>
    </w:rPr>
  </w:style>
  <w:style w:type="paragraph" w:styleId="5">
    <w:name w:val="heading 5"/>
    <w:basedOn w:val="1"/>
    <w:next w:val="1"/>
    <w:link w:val="19"/>
    <w:unhideWhenUsed/>
    <w:qFormat/>
    <w:uiPriority w:val="9"/>
    <w:pPr>
      <w:keepNext/>
      <w:keepLines/>
      <w:outlineLvl w:val="4"/>
    </w:pPr>
    <w:rPr>
      <w:rFonts w:eastAsia="宋体"/>
      <w:b/>
      <w:bCs/>
      <w:szCs w:val="28"/>
    </w:rPr>
  </w:style>
  <w:style w:type="paragraph" w:styleId="6">
    <w:name w:val="heading 6"/>
    <w:basedOn w:val="1"/>
    <w:next w:val="1"/>
    <w:link w:val="20"/>
    <w:unhideWhenUsed/>
    <w:qFormat/>
    <w:uiPriority w:val="9"/>
    <w:pPr>
      <w:keepNext/>
      <w:keepLines/>
      <w:numPr>
        <w:ilvl w:val="3"/>
        <w:numId w:val="1"/>
      </w:numPr>
      <w:outlineLvl w:val="5"/>
    </w:pPr>
    <w:rPr>
      <w:rFonts w:asciiTheme="majorHAnsi" w:hAnsiTheme="majorHAnsi" w:cstheme="majorBidi"/>
      <w:b/>
      <w:bCs/>
      <w:szCs w:val="24"/>
    </w:rPr>
  </w:style>
  <w:style w:type="paragraph" w:styleId="7">
    <w:name w:val="heading 7"/>
    <w:basedOn w:val="1"/>
    <w:next w:val="1"/>
    <w:link w:val="21"/>
    <w:unhideWhenUsed/>
    <w:qFormat/>
    <w:uiPriority w:val="9"/>
    <w:pPr>
      <w:keepNext/>
      <w:keepLines/>
      <w:numPr>
        <w:ilvl w:val="4"/>
        <w:numId w:val="1"/>
      </w:numPr>
      <w:spacing w:before="240" w:after="64" w:line="320" w:lineRule="auto"/>
      <w:outlineLvl w:val="6"/>
    </w:pPr>
    <w:rPr>
      <w:b/>
      <w:bCs/>
      <w:szCs w:val="24"/>
    </w:rPr>
  </w:style>
  <w:style w:type="paragraph" w:styleId="8">
    <w:name w:val="heading 8"/>
    <w:basedOn w:val="1"/>
    <w:next w:val="1"/>
    <w:link w:val="22"/>
    <w:unhideWhenUsed/>
    <w:qFormat/>
    <w:uiPriority w:val="9"/>
    <w:pPr>
      <w:keepNext/>
      <w:keepLines/>
      <w:numPr>
        <w:ilvl w:val="5"/>
        <w:numId w:val="1"/>
      </w:numPr>
      <w:spacing w:before="240" w:after="64" w:line="320" w:lineRule="auto"/>
      <w:outlineLvl w:val="7"/>
    </w:pPr>
    <w:rPr>
      <w:rFonts w:asciiTheme="majorHAnsi" w:hAnsiTheme="majorHAnsi" w:eastAsiaTheme="majorEastAsia" w:cstheme="majorBidi"/>
      <w:szCs w:val="24"/>
    </w:rPr>
  </w:style>
  <w:style w:type="paragraph" w:styleId="9">
    <w:name w:val="heading 9"/>
    <w:basedOn w:val="1"/>
    <w:next w:val="1"/>
    <w:link w:val="23"/>
    <w:unhideWhenUsed/>
    <w:qFormat/>
    <w:uiPriority w:val="9"/>
    <w:pPr>
      <w:keepNext/>
      <w:keepLines/>
      <w:numPr>
        <w:ilvl w:val="6"/>
        <w:numId w:val="1"/>
      </w:numPr>
      <w:spacing w:before="240" w:after="64" w:line="320" w:lineRule="auto"/>
      <w:outlineLvl w:val="8"/>
    </w:pPr>
    <w:rPr>
      <w:rFonts w:asciiTheme="majorHAnsi" w:hAnsiTheme="majorHAnsi" w:eastAsiaTheme="majorEastAsia" w:cstheme="majorBidi"/>
      <w:szCs w:val="21"/>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annotation text"/>
    <w:basedOn w:val="1"/>
    <w:link w:val="27"/>
    <w:qFormat/>
    <w:uiPriority w:val="99"/>
    <w:pPr>
      <w:spacing w:line="240" w:lineRule="auto"/>
    </w:pPr>
    <w:rPr>
      <w:rFonts w:ascii="Times New Roman" w:hAnsi="Times New Roman" w:eastAsia="宋体" w:cs="Times New Roman"/>
      <w:sz w:val="21"/>
      <w:szCs w:val="24"/>
    </w:rPr>
  </w:style>
  <w:style w:type="paragraph" w:styleId="11">
    <w:name w:val="footer"/>
    <w:basedOn w:val="1"/>
    <w:link w:val="24"/>
    <w:unhideWhenUsed/>
    <w:qFormat/>
    <w:uiPriority w:val="0"/>
    <w:pPr>
      <w:tabs>
        <w:tab w:val="center" w:pos="4153"/>
        <w:tab w:val="right" w:pos="8306"/>
      </w:tabs>
      <w:snapToGrid w:val="0"/>
    </w:pPr>
    <w:rPr>
      <w:sz w:val="18"/>
      <w:szCs w:val="18"/>
    </w:rPr>
  </w:style>
  <w:style w:type="paragraph" w:styleId="12">
    <w:name w:val="header"/>
    <w:basedOn w:val="1"/>
    <w:link w:val="32"/>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3">
    <w:name w:val="annotation subject"/>
    <w:basedOn w:val="10"/>
    <w:next w:val="10"/>
    <w:link w:val="34"/>
    <w:semiHidden/>
    <w:unhideWhenUsed/>
    <w:qFormat/>
    <w:uiPriority w:val="99"/>
    <w:pPr>
      <w:spacing w:line="360" w:lineRule="auto"/>
    </w:pPr>
    <w:rPr>
      <w:rFonts w:eastAsia="仿宋" w:asciiTheme="minorHAnsi" w:hAnsiTheme="minorHAnsi" w:cstheme="minorBidi"/>
      <w:b/>
      <w:bCs/>
      <w:sz w:val="24"/>
      <w:szCs w:val="22"/>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qFormat/>
    <w:uiPriority w:val="99"/>
    <w:rPr>
      <w:sz w:val="21"/>
      <w:szCs w:val="21"/>
    </w:rPr>
  </w:style>
  <w:style w:type="character" w:customStyle="1" w:styleId="18">
    <w:name w:val="标题 4 字符"/>
    <w:basedOn w:val="16"/>
    <w:link w:val="4"/>
    <w:qFormat/>
    <w:uiPriority w:val="9"/>
    <w:rPr>
      <w:rFonts w:eastAsia="宋体" w:asciiTheme="majorHAnsi" w:hAnsiTheme="majorHAnsi" w:cstheme="majorBidi"/>
      <w:b/>
      <w:bCs/>
      <w:sz w:val="24"/>
      <w:szCs w:val="28"/>
    </w:rPr>
  </w:style>
  <w:style w:type="character" w:customStyle="1" w:styleId="19">
    <w:name w:val="标题 5 字符"/>
    <w:basedOn w:val="16"/>
    <w:link w:val="5"/>
    <w:qFormat/>
    <w:uiPriority w:val="9"/>
    <w:rPr>
      <w:rFonts w:eastAsia="宋体"/>
      <w:b/>
      <w:bCs/>
      <w:sz w:val="24"/>
      <w:szCs w:val="28"/>
    </w:rPr>
  </w:style>
  <w:style w:type="character" w:customStyle="1" w:styleId="20">
    <w:name w:val="标题 6 字符"/>
    <w:basedOn w:val="16"/>
    <w:link w:val="6"/>
    <w:qFormat/>
    <w:uiPriority w:val="0"/>
    <w:rPr>
      <w:rFonts w:eastAsia="仿宋" w:asciiTheme="majorHAnsi" w:hAnsiTheme="majorHAnsi" w:cstheme="majorBidi"/>
      <w:b/>
      <w:bCs/>
      <w:sz w:val="24"/>
      <w:szCs w:val="24"/>
    </w:rPr>
  </w:style>
  <w:style w:type="character" w:customStyle="1" w:styleId="21">
    <w:name w:val="标题 7 字符"/>
    <w:basedOn w:val="16"/>
    <w:link w:val="7"/>
    <w:qFormat/>
    <w:uiPriority w:val="0"/>
    <w:rPr>
      <w:rFonts w:eastAsia="仿宋"/>
      <w:b/>
      <w:bCs/>
      <w:sz w:val="24"/>
      <w:szCs w:val="24"/>
    </w:rPr>
  </w:style>
  <w:style w:type="character" w:customStyle="1" w:styleId="22">
    <w:name w:val="标题 8 字符"/>
    <w:basedOn w:val="16"/>
    <w:link w:val="8"/>
    <w:qFormat/>
    <w:uiPriority w:val="0"/>
    <w:rPr>
      <w:rFonts w:asciiTheme="majorHAnsi" w:hAnsiTheme="majorHAnsi" w:eastAsiaTheme="majorEastAsia" w:cstheme="majorBidi"/>
      <w:sz w:val="24"/>
      <w:szCs w:val="24"/>
    </w:rPr>
  </w:style>
  <w:style w:type="character" w:customStyle="1" w:styleId="23">
    <w:name w:val="标题 9 字符"/>
    <w:basedOn w:val="16"/>
    <w:link w:val="9"/>
    <w:qFormat/>
    <w:uiPriority w:val="9"/>
    <w:rPr>
      <w:rFonts w:asciiTheme="majorHAnsi" w:hAnsiTheme="majorHAnsi" w:eastAsiaTheme="majorEastAsia" w:cstheme="majorBidi"/>
      <w:sz w:val="24"/>
      <w:szCs w:val="21"/>
    </w:rPr>
  </w:style>
  <w:style w:type="character" w:customStyle="1" w:styleId="24">
    <w:name w:val="页脚 字符"/>
    <w:basedOn w:val="16"/>
    <w:link w:val="11"/>
    <w:qFormat/>
    <w:uiPriority w:val="0"/>
    <w:rPr>
      <w:rFonts w:eastAsia="仿宋"/>
      <w:sz w:val="18"/>
      <w:szCs w:val="18"/>
    </w:rPr>
  </w:style>
  <w:style w:type="paragraph" w:styleId="25">
    <w:name w:val="List Paragraph"/>
    <w:basedOn w:val="1"/>
    <w:link w:val="26"/>
    <w:qFormat/>
    <w:uiPriority w:val="34"/>
    <w:pPr>
      <w:spacing w:line="240" w:lineRule="auto"/>
      <w:ind w:firstLine="420"/>
      <w:jc w:val="both"/>
    </w:pPr>
    <w:rPr>
      <w:rFonts w:eastAsiaTheme="minorEastAsia"/>
      <w:sz w:val="21"/>
    </w:rPr>
  </w:style>
  <w:style w:type="character" w:customStyle="1" w:styleId="26">
    <w:name w:val="列表段落 字符"/>
    <w:link w:val="25"/>
    <w:qFormat/>
    <w:uiPriority w:val="34"/>
  </w:style>
  <w:style w:type="character" w:customStyle="1" w:styleId="27">
    <w:name w:val="批注文字 字符"/>
    <w:basedOn w:val="16"/>
    <w:link w:val="10"/>
    <w:qFormat/>
    <w:uiPriority w:val="99"/>
    <w:rPr>
      <w:rFonts w:ascii="Times New Roman" w:hAnsi="Times New Roman" w:eastAsia="宋体" w:cs="Times New Roman"/>
      <w:szCs w:val="24"/>
    </w:rPr>
  </w:style>
  <w:style w:type="character" w:customStyle="1" w:styleId="28">
    <w:name w:val="标题 3 字符"/>
    <w:basedOn w:val="16"/>
    <w:link w:val="3"/>
    <w:qFormat/>
    <w:uiPriority w:val="0"/>
    <w:rPr>
      <w:rFonts w:ascii="Arial" w:hAnsi="Arial" w:eastAsia="仿宋_GB2312"/>
      <w:b/>
      <w:bCs/>
      <w:sz w:val="32"/>
      <w:szCs w:val="32"/>
    </w:rPr>
  </w:style>
  <w:style w:type="character" w:customStyle="1" w:styleId="29">
    <w:name w:val="标题 2 字符"/>
    <w:basedOn w:val="16"/>
    <w:link w:val="2"/>
    <w:qFormat/>
    <w:uiPriority w:val="0"/>
    <w:rPr>
      <w:rFonts w:ascii="Cambria" w:hAnsi="Cambria" w:eastAsia="宋体" w:cs="Times New Roman"/>
      <w:b/>
      <w:bCs/>
      <w:sz w:val="32"/>
      <w:szCs w:val="32"/>
    </w:rPr>
  </w:style>
  <w:style w:type="character" w:customStyle="1" w:styleId="30">
    <w:name w:val="Default Char"/>
    <w:link w:val="31"/>
    <w:qFormat/>
    <w:uiPriority w:val="0"/>
    <w:rPr>
      <w:rFonts w:ascii="宋体" w:cs="宋体"/>
      <w:color w:val="000000"/>
    </w:rPr>
  </w:style>
  <w:style w:type="paragraph" w:customStyle="1" w:styleId="31">
    <w:name w:val="Default"/>
    <w:link w:val="30"/>
    <w:qFormat/>
    <w:uiPriority w:val="0"/>
    <w:pPr>
      <w:widowControl w:val="0"/>
      <w:autoSpaceDE w:val="0"/>
      <w:autoSpaceDN w:val="0"/>
      <w:adjustRightInd w:val="0"/>
    </w:pPr>
    <w:rPr>
      <w:rFonts w:ascii="宋体" w:cs="宋体" w:hAnsiTheme="minorHAnsi" w:eastAsiaTheme="minorEastAsia"/>
      <w:color w:val="000000"/>
      <w:kern w:val="2"/>
      <w:sz w:val="21"/>
      <w:szCs w:val="22"/>
      <w:lang w:val="en-US" w:eastAsia="zh-CN" w:bidi="ar-SA"/>
    </w:rPr>
  </w:style>
  <w:style w:type="character" w:customStyle="1" w:styleId="32">
    <w:name w:val="页眉 字符"/>
    <w:basedOn w:val="16"/>
    <w:link w:val="12"/>
    <w:qFormat/>
    <w:uiPriority w:val="99"/>
    <w:rPr>
      <w:rFonts w:eastAsia="仿宋"/>
      <w:sz w:val="18"/>
      <w:szCs w:val="18"/>
    </w:rPr>
  </w:style>
  <w:style w:type="paragraph" w:customStyle="1" w:styleId="33">
    <w:name w:val="Revision"/>
    <w:hidden/>
    <w:semiHidden/>
    <w:qFormat/>
    <w:uiPriority w:val="99"/>
    <w:rPr>
      <w:rFonts w:eastAsia="仿宋" w:asciiTheme="minorHAnsi" w:hAnsiTheme="minorHAnsi" w:cstheme="minorBidi"/>
      <w:kern w:val="2"/>
      <w:sz w:val="24"/>
      <w:szCs w:val="22"/>
      <w:lang w:val="en-US" w:eastAsia="zh-CN" w:bidi="ar-SA"/>
    </w:rPr>
  </w:style>
  <w:style w:type="character" w:customStyle="1" w:styleId="34">
    <w:name w:val="批注主题 字符"/>
    <w:basedOn w:val="27"/>
    <w:link w:val="13"/>
    <w:semiHidden/>
    <w:qFormat/>
    <w:uiPriority w:val="99"/>
    <w:rPr>
      <w:rFonts w:ascii="Times New Roman" w:hAnsi="Times New Roman" w:eastAsia="仿宋" w:cs="Times New Roman"/>
      <w:b/>
      <w:bCs/>
      <w:sz w:val="24"/>
      <w:szCs w:val="24"/>
    </w:rPr>
  </w:style>
  <w:style w:type="table" w:customStyle="1" w:styleId="35">
    <w:name w:val="网格型1"/>
    <w:basedOn w:val="14"/>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
    <w:name w:val="网格型2"/>
    <w:basedOn w:val="14"/>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
    <w:name w:val="网格型3"/>
    <w:basedOn w:val="14"/>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
    <w:name w:val="网格型4"/>
    <w:basedOn w:val="14"/>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
    <w:name w:val="网格型5"/>
    <w:basedOn w:val="14"/>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7E5E56-FF72-4DA2-982E-B9D25099EF54}">
  <ds:schemaRefs/>
</ds:datastoreItem>
</file>

<file path=docProps/app.xml><?xml version="1.0" encoding="utf-8"?>
<Properties xmlns="http://schemas.openxmlformats.org/officeDocument/2006/extended-properties" xmlns:vt="http://schemas.openxmlformats.org/officeDocument/2006/docPropsVTypes">
  <Template>Normal</Template>
  <Pages>3</Pages>
  <Words>2170</Words>
  <Characters>2219</Characters>
  <Lines>160</Lines>
  <Paragraphs>157</Paragraphs>
  <TotalTime>0</TotalTime>
  <ScaleCrop>false</ScaleCrop>
  <LinksUpToDate>false</LinksUpToDate>
  <CharactersWithSpaces>2222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2026-01-06T01:58:00Z</dcterms:created>
  <dc:creator>hushuyun</dc:creator>
  <cp:lastModifiedBy>我爱熊猫</cp:lastModifiedBy>
  <dcterms:modified xsi:type="dcterms:W3CDTF">2026-05-14T03:15:51Z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eyJoZGlkIjoiYzRlYzk2ZGE4ZTc3YmQ2YzUwOTE0NThjY2Q0NjA3YjEiLCJ1c2VySWQiOiIyMzc0MzQyMjEifQ==</vt:lpwstr>
  </property>
  <property fmtid="{D5CDD505-2E9C-101B-9397-08002B2CF9AE}" pid="3" name="KSOProductBuildVer">
    <vt:lpwstr>2052-12.1.0.25865</vt:lpwstr>
  </property>
  <property fmtid="{D5CDD505-2E9C-101B-9397-08002B2CF9AE}" pid="4" name="ICV">
    <vt:lpwstr>FE9603916B174E4892EA103073FBF4DE_13</vt:lpwstr>
  </property>
</Properties>
</file>