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39DCD4">
      <w:pPr>
        <w:keepNext w:val="0"/>
        <w:keepLines w:val="0"/>
        <w:pageBreakBefore w:val="0"/>
        <w:widowControl w:val="0"/>
        <w:kinsoku/>
        <w:wordWrap/>
        <w:overflowPunct/>
        <w:topLinePunct w:val="0"/>
        <w:autoSpaceDE/>
        <w:autoSpaceDN/>
        <w:bidi w:val="0"/>
        <w:adjustRightInd/>
        <w:snapToGrid/>
        <w:spacing w:after="327" w:afterLines="100" w:line="560" w:lineRule="exact"/>
        <w:jc w:val="center"/>
        <w:textAlignment w:val="auto"/>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pPr>
      <w:bookmarkStart w:id="0" w:name="_Hlk130221285"/>
      <w:r>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t>药师审方干预系统与集采药品智能管控系统</w:t>
      </w:r>
    </w:p>
    <w:p w14:paraId="73DBE27F">
      <w:pPr>
        <w:keepNext w:val="0"/>
        <w:keepLines w:val="0"/>
        <w:pageBreakBefore w:val="0"/>
        <w:widowControl w:val="0"/>
        <w:kinsoku/>
        <w:wordWrap/>
        <w:overflowPunct/>
        <w:topLinePunct w:val="0"/>
        <w:autoSpaceDE/>
        <w:autoSpaceDN/>
        <w:bidi w:val="0"/>
        <w:adjustRightInd/>
        <w:snapToGrid/>
        <w:spacing w:after="327" w:afterLines="100" w:line="560" w:lineRule="exact"/>
        <w:jc w:val="center"/>
        <w:textAlignment w:val="auto"/>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t>参数需求</w:t>
      </w:r>
    </w:p>
    <w:p w14:paraId="030A9CCE">
      <w:pPr>
        <w:numPr>
          <w:ilvl w:val="0"/>
          <w:numId w:val="2"/>
        </w:numPr>
        <w:spacing w:line="520" w:lineRule="exact"/>
        <w:ind w:firstLine="482" w:firstLineChars="200"/>
        <w:rPr>
          <w:rFonts w:hint="eastAsia" w:asciiTheme="minorEastAsia" w:hAnsiTheme="minorEastAsia" w:cstheme="minorEastAsia"/>
          <w:b/>
          <w:bCs/>
          <w:sz w:val="24"/>
        </w:rPr>
      </w:pPr>
      <w:r>
        <w:rPr>
          <w:rFonts w:hint="eastAsia" w:asciiTheme="minorEastAsia" w:hAnsiTheme="minorEastAsia" w:cstheme="minorEastAsia"/>
          <w:b/>
          <w:bCs/>
          <w:sz w:val="24"/>
        </w:rPr>
        <w:t>项目概况</w:t>
      </w:r>
    </w:p>
    <w:p w14:paraId="492E407C">
      <w:pPr>
        <w:numPr>
          <w:ilvl w:val="0"/>
          <w:numId w:val="3"/>
        </w:numPr>
        <w:spacing w:line="520" w:lineRule="exact"/>
        <w:ind w:firstLine="480" w:firstLineChars="200"/>
        <w:rPr>
          <w:rFonts w:hint="eastAsia" w:asciiTheme="minorEastAsia" w:hAnsiTheme="minorEastAsia" w:cstheme="minorEastAsia"/>
          <w:sz w:val="24"/>
        </w:rPr>
      </w:pPr>
      <w:r>
        <w:rPr>
          <w:rFonts w:hint="eastAsia" w:asciiTheme="minorEastAsia" w:hAnsiTheme="minorEastAsia" w:cstheme="minorEastAsia"/>
          <w:sz w:val="24"/>
        </w:rPr>
        <w:t>采购单位：</w:t>
      </w:r>
      <w:bookmarkStart w:id="1" w:name="OLE_LINK21"/>
      <w:r>
        <w:rPr>
          <w:rFonts w:hint="eastAsia" w:asciiTheme="minorEastAsia" w:hAnsiTheme="minorEastAsia" w:cstheme="minorEastAsia"/>
          <w:sz w:val="24"/>
        </w:rPr>
        <w:t>中山大学附属第一医院广西医院</w:t>
      </w:r>
      <w:bookmarkEnd w:id="1"/>
    </w:p>
    <w:p w14:paraId="0E6CB0FD">
      <w:pPr>
        <w:numPr>
          <w:ilvl w:val="0"/>
          <w:numId w:val="3"/>
        </w:numPr>
        <w:spacing w:line="520" w:lineRule="exact"/>
        <w:ind w:firstLine="480" w:firstLineChars="200"/>
        <w:rPr>
          <w:rFonts w:hint="eastAsia" w:asciiTheme="minorEastAsia" w:hAnsiTheme="minorEastAsia" w:cstheme="minorEastAsia"/>
          <w:sz w:val="24"/>
        </w:rPr>
      </w:pPr>
      <w:r>
        <w:rPr>
          <w:rFonts w:hint="eastAsia" w:asciiTheme="minorEastAsia" w:hAnsiTheme="minorEastAsia" w:cstheme="minorEastAsia"/>
          <w:sz w:val="24"/>
        </w:rPr>
        <w:t>项目名称：</w:t>
      </w:r>
      <w:r>
        <w:rPr>
          <w:rFonts w:hint="eastAsia" w:asciiTheme="minorEastAsia" w:hAnsiTheme="minorEastAsia" w:cstheme="minorEastAsia"/>
        </w:rPr>
        <w:t>药师审方干预系统与集采药品智能管控系统</w:t>
      </w:r>
    </w:p>
    <w:p w14:paraId="7ACE9F84">
      <w:pPr>
        <w:numPr>
          <w:ilvl w:val="0"/>
          <w:numId w:val="3"/>
        </w:numPr>
        <w:spacing w:line="520" w:lineRule="exact"/>
        <w:ind w:firstLine="480" w:firstLineChars="200"/>
        <w:rPr>
          <w:rFonts w:hint="eastAsia" w:asciiTheme="minorEastAsia" w:hAnsiTheme="minorEastAsia" w:cstheme="minorEastAsia"/>
          <w:sz w:val="24"/>
        </w:rPr>
      </w:pPr>
      <w:r>
        <w:rPr>
          <w:rFonts w:hint="eastAsia" w:asciiTheme="minorEastAsia" w:hAnsiTheme="minorEastAsia" w:cstheme="minorEastAsia"/>
          <w:sz w:val="24"/>
        </w:rPr>
        <w:t>项目地点：广西壮族自治区南宁市青秀区佛子岭路3号</w:t>
      </w:r>
    </w:p>
    <w:p w14:paraId="7AF453C3">
      <w:pPr>
        <w:numPr>
          <w:ilvl w:val="0"/>
          <w:numId w:val="3"/>
        </w:numPr>
        <w:spacing w:line="520" w:lineRule="exact"/>
        <w:ind w:firstLine="480" w:firstLineChars="200"/>
        <w:rPr>
          <w:rFonts w:hint="eastAsia" w:asciiTheme="minorEastAsia" w:hAnsiTheme="minorEastAsia" w:cstheme="minorEastAsia"/>
          <w:sz w:val="24"/>
        </w:rPr>
      </w:pPr>
      <w:r>
        <w:rPr>
          <w:rFonts w:hint="eastAsia" w:asciiTheme="minorEastAsia" w:hAnsiTheme="minorEastAsia" w:cstheme="minorEastAsia"/>
          <w:sz w:val="24"/>
        </w:rPr>
        <w:t>采购预算：</w:t>
      </w:r>
      <w:r>
        <w:rPr>
          <w:rFonts w:hint="eastAsia" w:asciiTheme="minorEastAsia" w:hAnsiTheme="minorEastAsia" w:cstheme="minorEastAsia"/>
          <w:sz w:val="24"/>
          <w:lang w:val="en-US" w:eastAsia="zh-CN"/>
        </w:rPr>
        <w:t>49万元</w:t>
      </w:r>
    </w:p>
    <w:p w14:paraId="63CA8157">
      <w:pPr>
        <w:numPr>
          <w:ilvl w:val="0"/>
          <w:numId w:val="3"/>
        </w:numPr>
        <w:spacing w:line="520" w:lineRule="exact"/>
        <w:ind w:firstLine="480" w:firstLineChars="200"/>
        <w:rPr>
          <w:rFonts w:hint="eastAsia" w:asciiTheme="minorEastAsia" w:hAnsiTheme="minorEastAsia" w:cstheme="minorEastAsia"/>
          <w:sz w:val="24"/>
        </w:rPr>
      </w:pPr>
      <w:r>
        <w:rPr>
          <w:rFonts w:hint="eastAsia" w:asciiTheme="minorEastAsia" w:hAnsiTheme="minorEastAsia" w:cstheme="minorEastAsia"/>
          <w:sz w:val="24"/>
          <w:lang w:val="en-US" w:eastAsia="zh-CN"/>
        </w:rPr>
        <w:t>采购上控价：</w:t>
      </w:r>
      <w:bookmarkStart w:id="4" w:name="_GoBack"/>
      <w:r>
        <w:rPr>
          <w:rFonts w:hint="eastAsia" w:asciiTheme="minorEastAsia" w:hAnsiTheme="minorEastAsia" w:cstheme="minorEastAsia"/>
          <w:sz w:val="24"/>
          <w:lang w:val="en-US" w:eastAsia="zh-CN"/>
        </w:rPr>
        <w:t>46</w:t>
      </w:r>
      <w:bookmarkEnd w:id="4"/>
      <w:r>
        <w:rPr>
          <w:rFonts w:hint="eastAsia" w:asciiTheme="minorEastAsia" w:hAnsiTheme="minorEastAsia" w:cstheme="minorEastAsia"/>
          <w:sz w:val="24"/>
        </w:rPr>
        <w:t>万元</w:t>
      </w:r>
    </w:p>
    <w:p w14:paraId="6AD0C024">
      <w:pPr>
        <w:numPr>
          <w:ilvl w:val="0"/>
          <w:numId w:val="3"/>
        </w:numPr>
        <w:spacing w:line="520" w:lineRule="exact"/>
        <w:ind w:firstLine="480" w:firstLineChars="200"/>
        <w:rPr>
          <w:rFonts w:hint="eastAsia" w:asciiTheme="minorEastAsia" w:hAnsiTheme="minorEastAsia" w:cstheme="minorEastAsia"/>
          <w:sz w:val="24"/>
        </w:rPr>
      </w:pPr>
      <w:r>
        <w:rPr>
          <w:rFonts w:hint="eastAsia" w:asciiTheme="minorEastAsia" w:hAnsiTheme="minorEastAsia" w:cstheme="minorEastAsia"/>
          <w:sz w:val="24"/>
        </w:rPr>
        <w:t>采购方式：院内磋商</w:t>
      </w:r>
    </w:p>
    <w:p w14:paraId="6568279A">
      <w:pPr>
        <w:numPr>
          <w:ilvl w:val="0"/>
          <w:numId w:val="2"/>
        </w:numPr>
        <w:spacing w:line="520" w:lineRule="exact"/>
        <w:ind w:firstLine="482" w:firstLineChars="200"/>
        <w:rPr>
          <w:rFonts w:hint="eastAsia" w:asciiTheme="minorEastAsia" w:hAnsiTheme="minorEastAsia" w:cstheme="minorEastAsia"/>
          <w:b/>
          <w:bCs/>
          <w:sz w:val="24"/>
        </w:rPr>
      </w:pPr>
      <w:r>
        <w:rPr>
          <w:rFonts w:hint="eastAsia" w:asciiTheme="minorEastAsia" w:hAnsiTheme="minorEastAsia" w:cstheme="minorEastAsia"/>
          <w:b/>
          <w:bCs/>
          <w:sz w:val="24"/>
        </w:rPr>
        <w:t>资质要求</w:t>
      </w:r>
    </w:p>
    <w:p w14:paraId="67C428F7">
      <w:pPr>
        <w:numPr>
          <w:ilvl w:val="0"/>
          <w:numId w:val="4"/>
        </w:numPr>
        <w:spacing w:line="520" w:lineRule="exact"/>
        <w:ind w:firstLine="560"/>
        <w:rPr>
          <w:rFonts w:hint="eastAsia" w:asciiTheme="minorEastAsia" w:hAnsiTheme="minorEastAsia" w:cstheme="minorEastAsia"/>
          <w:sz w:val="24"/>
        </w:rPr>
      </w:pPr>
      <w:r>
        <w:rPr>
          <w:rFonts w:hint="eastAsia" w:asciiTheme="minorEastAsia" w:hAnsiTheme="minorEastAsia" w:cstheme="minorEastAsia"/>
          <w:sz w:val="24"/>
        </w:rPr>
        <w:t>具有国内独立法人资格，注册经营范围满足本项目内容的供应商。</w:t>
      </w:r>
    </w:p>
    <w:p w14:paraId="6B648CC1">
      <w:pPr>
        <w:spacing w:line="520" w:lineRule="exact"/>
        <w:ind w:left="630"/>
        <w:rPr>
          <w:rFonts w:hint="eastAsia" w:asciiTheme="minorEastAsia" w:hAnsiTheme="minorEastAsia" w:cstheme="minorEastAsia"/>
          <w:sz w:val="24"/>
        </w:rPr>
      </w:pPr>
      <w:r>
        <w:rPr>
          <w:rFonts w:hint="eastAsia" w:asciiTheme="minorEastAsia" w:hAnsiTheme="minorEastAsia" w:cstheme="minorEastAsia"/>
          <w:sz w:val="24"/>
        </w:rPr>
        <w:t>（二）本项目不接受联合体报名。</w:t>
      </w:r>
    </w:p>
    <w:p w14:paraId="0B78C014">
      <w:pPr>
        <w:spacing w:line="520" w:lineRule="exact"/>
        <w:ind w:left="480" w:leftChars="200"/>
        <w:rPr>
          <w:rFonts w:hint="eastAsia" w:asciiTheme="minorEastAsia" w:hAnsiTheme="minorEastAsia" w:cstheme="minorEastAsia"/>
        </w:rPr>
      </w:pPr>
      <w:r>
        <w:rPr>
          <w:rFonts w:hint="eastAsia" w:asciiTheme="minorEastAsia" w:hAnsiTheme="minorEastAsia" w:cstheme="minorEastAsia"/>
          <w:b/>
          <w:bCs/>
          <w:sz w:val="24"/>
        </w:rPr>
        <w:t>三、采购参数</w:t>
      </w:r>
    </w:p>
    <w:p w14:paraId="564760C4">
      <w:pPr>
        <w:keepNext w:val="0"/>
        <w:keepLines w:val="0"/>
        <w:pageBreakBefore w:val="0"/>
        <w:widowControl/>
        <w:kinsoku/>
        <w:wordWrap/>
        <w:overflowPunct/>
        <w:topLinePunct w:val="0"/>
        <w:autoSpaceDE/>
        <w:autoSpaceDN/>
        <w:bidi w:val="0"/>
        <w:adjustRightInd/>
        <w:snapToGrid/>
        <w:spacing w:after="0" w:afterLines="-2147483648" w:line="520" w:lineRule="exact"/>
        <w:ind w:left="630" w:leftChars="0" w:firstLine="0" w:firstLineChars="0"/>
        <w:jc w:val="left"/>
        <w:textAlignment w:val="auto"/>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pPr>
      <w:r>
        <w:rPr>
          <w:rFonts w:hint="eastAsia" w:asciiTheme="minorEastAsia" w:hAnsiTheme="minorEastAsia" w:cstheme="minorEastAsia"/>
          <w:b w:val="0"/>
          <w:bCs w:val="0"/>
          <w:color w:val="auto"/>
        </w:rPr>
        <w:t>带“▲”号的参数内容为实质性要求和条件，是必须满足的参数，否则被视为无效投标。带“★”号的参数内容为重要要求和条件。</w:t>
      </w:r>
    </w:p>
    <w:p w14:paraId="45DD9836">
      <w:pPr>
        <w:pStyle w:val="26"/>
        <w:keepNext/>
        <w:keepLines/>
        <w:pageBreakBefore w:val="0"/>
        <w:widowControl w:val="0"/>
        <w:numPr>
          <w:ilvl w:val="0"/>
          <w:numId w:val="5"/>
        </w:numPr>
        <w:kinsoku/>
        <w:wordWrap/>
        <w:overflowPunct/>
        <w:topLinePunct w:val="0"/>
        <w:autoSpaceDE/>
        <w:autoSpaceDN/>
        <w:bidi w:val="0"/>
        <w:adjustRightInd/>
        <w:snapToGrid/>
        <w:spacing w:before="327" w:beforeLines="100" w:line="240" w:lineRule="auto"/>
        <w:textAlignment w:val="auto"/>
        <w:outlineLvl w:val="1"/>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技术参数要求</w:t>
      </w:r>
    </w:p>
    <w:p w14:paraId="1A5EFDCA">
      <w:pPr>
        <w:keepNext w:val="0"/>
        <w:keepLines w:val="0"/>
        <w:pageBreakBefore w:val="0"/>
        <w:widowControl w:val="0"/>
        <w:kinsoku/>
        <w:wordWrap/>
        <w:overflowPunct/>
        <w:topLinePunct w:val="0"/>
        <w:autoSpaceDE/>
        <w:autoSpaceDN/>
        <w:bidi w:val="0"/>
        <w:adjustRightInd/>
        <w:snapToGrid/>
        <w:spacing w:before="164" w:beforeLines="50" w:line="240" w:lineRule="auto"/>
        <w:textAlignment w:val="auto"/>
        <w:rPr>
          <w:rFonts w:hint="eastAsia" w:ascii="宋体" w:hAnsi="宋体" w:eastAsia="宋体" w:cs="宋体"/>
          <w:b/>
          <w:bCs/>
          <w:color w:val="000000" w:themeColor="text1"/>
          <w:sz w:val="24"/>
          <w:szCs w:val="24"/>
          <w:lang w:eastAsia="zh-CN"/>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药师审方干预功能要求</w:t>
      </w:r>
      <w:r>
        <w:rPr>
          <w:rFonts w:hint="eastAsia" w:ascii="宋体" w:hAnsi="宋体" w:eastAsia="宋体" w:cs="宋体"/>
          <w:b/>
          <w:bCs/>
          <w:color w:val="000000" w:themeColor="text1"/>
          <w:sz w:val="24"/>
          <w:szCs w:val="24"/>
          <w:lang w:eastAsia="zh-CN"/>
          <w14:textFill>
            <w14:solidFill>
              <w14:schemeClr w14:val="tx1"/>
            </w14:solidFill>
          </w14:textFill>
        </w:rPr>
        <w:t>：</w:t>
      </w:r>
    </w:p>
    <w:tbl>
      <w:tblPr>
        <w:tblStyle w:val="15"/>
        <w:tblW w:w="93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1249"/>
        <w:gridCol w:w="7370"/>
      </w:tblGrid>
      <w:tr w14:paraId="7B00B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tcBorders>
              <w:top w:val="single" w:color="000000" w:sz="4" w:space="0"/>
              <w:left w:val="single" w:color="000000" w:sz="4" w:space="0"/>
              <w:bottom w:val="single" w:color="000000" w:sz="4" w:space="0"/>
              <w:right w:val="single" w:color="000000" w:sz="4" w:space="0"/>
              <w:tl2br w:val="nil"/>
            </w:tcBorders>
            <w:shd w:val="clear" w:color="auto" w:fill="FFFFFF"/>
            <w:vAlign w:val="center"/>
          </w:tcPr>
          <w:p w14:paraId="53F370C5">
            <w:pPr>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000000" w:themeColor="text1"/>
                <w:sz w:val="24"/>
                <w:szCs w:val="24"/>
                <w14:textFill>
                  <w14:solidFill>
                    <w14:schemeClr w14:val="tx1"/>
                  </w14:solidFill>
                </w14:textFill>
              </w:rPr>
            </w:pPr>
            <w:r>
              <w:rPr>
                <w:rFonts w:ascii="宋体" w:hAnsi="宋体" w:eastAsia="宋体" w:cs="宋体"/>
                <w:b/>
                <w:bCs/>
                <w:color w:val="000000" w:themeColor="text1"/>
                <w:sz w:val="24"/>
                <w:szCs w:val="24"/>
                <w14:textFill>
                  <w14:solidFill>
                    <w14:schemeClr w14:val="tx1"/>
                  </w14:solidFill>
                </w14:textFill>
              </w:rPr>
              <w:t>序号</w:t>
            </w:r>
          </w:p>
        </w:tc>
        <w:tc>
          <w:tcPr>
            <w:tcW w:w="12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3A292E">
            <w:pPr>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000000" w:themeColor="text1"/>
                <w:sz w:val="24"/>
                <w:szCs w:val="24"/>
                <w14:textFill>
                  <w14:solidFill>
                    <w14:schemeClr w14:val="tx1"/>
                  </w14:solidFill>
                </w14:textFill>
              </w:rPr>
            </w:pPr>
            <w:r>
              <w:rPr>
                <w:rFonts w:ascii="宋体" w:hAnsi="宋体" w:eastAsia="宋体" w:cs="宋体"/>
                <w:b/>
                <w:bCs/>
                <w:color w:val="000000" w:themeColor="text1"/>
                <w:sz w:val="24"/>
                <w:szCs w:val="24"/>
                <w14:textFill>
                  <w14:solidFill>
                    <w14:schemeClr w14:val="tx1"/>
                  </w14:solidFill>
                </w14:textFill>
              </w:rPr>
              <w:t>子项</w:t>
            </w:r>
          </w:p>
        </w:tc>
        <w:tc>
          <w:tcPr>
            <w:tcW w:w="73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4AADF6">
            <w:pPr>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000000" w:themeColor="text1"/>
                <w:sz w:val="24"/>
                <w:szCs w:val="24"/>
                <w14:textFill>
                  <w14:solidFill>
                    <w14:schemeClr w14:val="tx1"/>
                  </w14:solidFill>
                </w14:textFill>
              </w:rPr>
            </w:pPr>
            <w:r>
              <w:rPr>
                <w:rFonts w:ascii="宋体" w:hAnsi="宋体" w:eastAsia="宋体" w:cs="宋体"/>
                <w:b/>
                <w:bCs/>
                <w:color w:val="000000" w:themeColor="text1"/>
                <w:sz w:val="24"/>
                <w:szCs w:val="24"/>
                <w14:textFill>
                  <w14:solidFill>
                    <w14:schemeClr w14:val="tx1"/>
                  </w14:solidFill>
                </w14:textFill>
              </w:rPr>
              <w:t>详细要求</w:t>
            </w:r>
          </w:p>
        </w:tc>
      </w:tr>
      <w:tr w14:paraId="22B1B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B7508F">
            <w:pPr>
              <w:pageBreakBefore w:val="0"/>
              <w:widowControl w:val="0"/>
              <w:numPr>
                <w:ilvl w:val="0"/>
                <w:numId w:val="6"/>
              </w:numPr>
              <w:kinsoku/>
              <w:wordWrap/>
              <w:overflowPunct/>
              <w:topLinePunct w:val="0"/>
              <w:autoSpaceDE/>
              <w:autoSpaceDN/>
              <w:bidi w:val="0"/>
              <w:adjustRightInd/>
              <w:snapToGrid/>
              <w:spacing w:line="240" w:lineRule="auto"/>
              <w:ind w:left="425" w:hanging="425"/>
              <w:textAlignment w:val="auto"/>
              <w:rPr>
                <w:rFonts w:hint="eastAsia" w:ascii="宋体" w:hAnsi="宋体" w:eastAsia="宋体" w:cs="宋体"/>
                <w:b w:val="0"/>
                <w:bCs w:val="0"/>
                <w:color w:val="000000" w:themeColor="text1"/>
                <w:sz w:val="24"/>
                <w:szCs w:val="24"/>
                <w14:textFill>
                  <w14:solidFill>
                    <w14:schemeClr w14:val="tx1"/>
                  </w14:solidFill>
                </w14:textFill>
              </w:rPr>
            </w:pPr>
          </w:p>
        </w:tc>
        <w:tc>
          <w:tcPr>
            <w:tcW w:w="12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9A3FE3">
            <w:pPr>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审方干预功能</w:t>
            </w:r>
          </w:p>
        </w:tc>
        <w:tc>
          <w:tcPr>
            <w:tcW w:w="73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1AC6AF">
            <w:pPr>
              <w:pStyle w:val="4"/>
              <w:pageBreakBefore w:val="0"/>
              <w:widowControl w:val="0"/>
              <w:numPr>
                <w:ilvl w:val="0"/>
                <w:numId w:val="7"/>
              </w:numPr>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b/>
                <w:bCs/>
                <w:color w:val="000000"/>
              </w:rPr>
              <w:t>▲</w:t>
            </w:r>
            <w:r>
              <w:rPr>
                <w:rFonts w:hint="eastAsia" w:ascii="宋体" w:hAnsi="宋体" w:eastAsia="宋体" w:cs="宋体"/>
                <w:b w:val="0"/>
                <w:bCs w:val="0"/>
                <w:color w:val="000000" w:themeColor="text1"/>
                <w:sz w:val="24"/>
                <w:szCs w:val="24"/>
                <w14:textFill>
                  <w14:solidFill>
                    <w14:schemeClr w14:val="tx1"/>
                  </w14:solidFill>
                </w14:textFill>
              </w:rPr>
              <w:t>审方时机和过程：</w:t>
            </w:r>
            <w:r>
              <w:rPr>
                <w:rFonts w:hint="eastAsia" w:ascii="宋体" w:hAnsi="宋体" w:eastAsia="宋体" w:cs="宋体"/>
                <w:b w:val="0"/>
                <w:bCs w:val="0"/>
                <w:color w:val="000000" w:themeColor="text1"/>
                <w:sz w:val="24"/>
                <w:szCs w:val="24"/>
                <w:lang w:val="en-US" w:eastAsia="zh-CN"/>
                <w14:textFill>
                  <w14:solidFill>
                    <w14:schemeClr w14:val="tx1"/>
                  </w14:solidFill>
                </w14:textFill>
              </w:rPr>
              <w:t>要求</w:t>
            </w:r>
            <w:r>
              <w:rPr>
                <w:rFonts w:hint="eastAsia" w:ascii="宋体" w:hAnsi="宋体" w:eastAsia="宋体" w:cs="宋体"/>
                <w:b w:val="0"/>
                <w:bCs w:val="0"/>
                <w:color w:val="000000" w:themeColor="text1"/>
                <w:sz w:val="24"/>
                <w:szCs w:val="24"/>
                <w14:textFill>
                  <w14:solidFill>
                    <w14:schemeClr w14:val="tx1"/>
                  </w14:solidFill>
                </w14:textFill>
              </w:rPr>
              <w:t>系统</w:t>
            </w:r>
            <w:r>
              <w:rPr>
                <w:rFonts w:hint="eastAsia" w:ascii="宋体" w:hAnsi="宋体" w:eastAsia="宋体" w:cs="宋体"/>
                <w:b w:val="0"/>
                <w:bCs w:val="0"/>
                <w:color w:val="000000" w:themeColor="text1"/>
                <w:sz w:val="24"/>
                <w:szCs w:val="24"/>
                <w:lang w:val="en-US" w:eastAsia="zh-CN"/>
                <w14:textFill>
                  <w14:solidFill>
                    <w14:schemeClr w14:val="tx1"/>
                  </w14:solidFill>
                </w14:textFill>
              </w:rPr>
              <w:t>支持</w:t>
            </w:r>
            <w:r>
              <w:rPr>
                <w:rFonts w:hint="eastAsia" w:ascii="宋体" w:hAnsi="宋体" w:eastAsia="宋体" w:cs="宋体"/>
                <w:b w:val="0"/>
                <w:bCs w:val="0"/>
                <w:color w:val="000000" w:themeColor="text1"/>
                <w:sz w:val="24"/>
                <w:szCs w:val="24"/>
                <w14:textFill>
                  <w14:solidFill>
                    <w14:schemeClr w14:val="tx1"/>
                  </w14:solidFill>
                </w14:textFill>
              </w:rPr>
              <w:t>为药师提供专门的审方工作平台，帮助门诊药师在患者缴费前完成门诊处方实时审查、住院药师在护士领药前完成住院医嘱审查。</w:t>
            </w:r>
            <w:r>
              <w:rPr>
                <w:rFonts w:hint="eastAsia" w:ascii="宋体" w:hAnsi="宋体" w:eastAsia="宋体" w:cs="宋体"/>
                <w:b w:val="0"/>
                <w:bCs w:val="0"/>
                <w:color w:val="000000" w:themeColor="text1"/>
                <w:sz w:val="24"/>
                <w:szCs w:val="24"/>
                <w:lang w:val="en-US" w:eastAsia="zh-CN"/>
                <w14:textFill>
                  <w14:solidFill>
                    <w14:schemeClr w14:val="tx1"/>
                  </w14:solidFill>
                </w14:textFill>
              </w:rPr>
              <w:t>支持</w:t>
            </w:r>
            <w:r>
              <w:rPr>
                <w:rFonts w:hint="eastAsia" w:ascii="宋体" w:hAnsi="宋体" w:eastAsia="宋体" w:cs="宋体"/>
                <w:b w:val="0"/>
                <w:bCs w:val="0"/>
                <w:color w:val="000000" w:themeColor="text1"/>
                <w:sz w:val="24"/>
                <w:szCs w:val="24"/>
                <w14:textFill>
                  <w14:solidFill>
                    <w14:schemeClr w14:val="tx1"/>
                  </w14:solidFill>
                </w14:textFill>
              </w:rPr>
              <w:t>先自动审查出问题处方（医嘱），再由药师人工审查，审查过程中药师可以与医生实时互动，直到处方（医嘱）通过。</w:t>
            </w:r>
            <w:r>
              <w:rPr>
                <w:rFonts w:hint="eastAsia" w:ascii="宋体" w:hAnsi="宋体" w:eastAsia="宋体" w:cs="宋体"/>
                <w:b w:val="0"/>
                <w:bCs w:val="0"/>
                <w:color w:val="000000" w:themeColor="text1"/>
                <w:sz w:val="24"/>
                <w:szCs w:val="24"/>
                <w:lang w:val="en-US" w:eastAsia="zh-CN"/>
                <w14:textFill>
                  <w14:solidFill>
                    <w14:schemeClr w14:val="tx1"/>
                  </w14:solidFill>
                </w14:textFill>
              </w:rPr>
              <w:t>支持</w:t>
            </w:r>
            <w:r>
              <w:rPr>
                <w:rFonts w:hint="eastAsia" w:ascii="宋体" w:hAnsi="宋体" w:eastAsia="宋体" w:cs="宋体"/>
                <w:b w:val="0"/>
                <w:bCs w:val="0"/>
                <w:color w:val="000000" w:themeColor="text1"/>
                <w:sz w:val="24"/>
                <w:szCs w:val="24"/>
                <w14:textFill>
                  <w14:solidFill>
                    <w14:schemeClr w14:val="tx1"/>
                  </w14:solidFill>
                </w14:textFill>
              </w:rPr>
              <w:t>药师可同时接收门诊、住院</w:t>
            </w:r>
            <w:r>
              <w:rPr>
                <w:rFonts w:hint="eastAsia" w:ascii="宋体" w:hAnsi="宋体" w:eastAsia="宋体" w:cs="宋体"/>
                <w:b w:val="0"/>
                <w:bCs w:val="0"/>
                <w:color w:val="000000" w:themeColor="text1"/>
                <w:sz w:val="24"/>
                <w:szCs w:val="24"/>
                <w:lang w:eastAsia="zh-CN"/>
                <w14:textFill>
                  <w14:solidFill>
                    <w14:schemeClr w14:val="tx1"/>
                  </w14:solidFill>
                </w14:textFill>
              </w:rPr>
              <w:t>的</w:t>
            </w:r>
            <w:r>
              <w:rPr>
                <w:rFonts w:hint="eastAsia" w:ascii="宋体" w:hAnsi="宋体" w:eastAsia="宋体" w:cs="宋体"/>
                <w:b w:val="0"/>
                <w:bCs w:val="0"/>
                <w:color w:val="000000" w:themeColor="text1"/>
                <w:sz w:val="24"/>
                <w:szCs w:val="24"/>
                <w:lang w:val="en-US" w:eastAsia="zh-CN"/>
                <w14:textFill>
                  <w14:solidFill>
                    <w14:schemeClr w14:val="tx1"/>
                  </w14:solidFill>
                </w14:textFill>
              </w:rPr>
              <w:t>处方审核</w:t>
            </w:r>
            <w:r>
              <w:rPr>
                <w:rFonts w:hint="eastAsia" w:ascii="宋体" w:hAnsi="宋体" w:eastAsia="宋体" w:cs="宋体"/>
                <w:b w:val="0"/>
                <w:bCs w:val="0"/>
                <w:color w:val="000000" w:themeColor="text1"/>
                <w:sz w:val="24"/>
                <w:szCs w:val="24"/>
                <w14:textFill>
                  <w14:solidFill>
                    <w14:schemeClr w14:val="tx1"/>
                  </w14:solidFill>
                </w14:textFill>
              </w:rPr>
              <w:t>任务。</w:t>
            </w:r>
          </w:p>
          <w:p w14:paraId="1AC442DC">
            <w:pPr>
              <w:pStyle w:val="4"/>
              <w:pageBreakBefore w:val="0"/>
              <w:widowControl w:val="0"/>
              <w:numPr>
                <w:ilvl w:val="0"/>
                <w:numId w:val="7"/>
              </w:numPr>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b/>
                <w:bCs/>
                <w:color w:val="000000"/>
              </w:rPr>
              <w:t>▲</w:t>
            </w:r>
            <w:r>
              <w:rPr>
                <w:rFonts w:hint="eastAsia" w:ascii="宋体" w:hAnsi="宋体" w:eastAsia="宋体" w:cs="宋体"/>
                <w:b w:val="0"/>
                <w:bCs w:val="0"/>
                <w:color w:val="000000" w:themeColor="text1"/>
                <w:sz w:val="24"/>
                <w:szCs w:val="24"/>
                <w14:textFill>
                  <w14:solidFill>
                    <w14:schemeClr w14:val="tx1"/>
                  </w14:solidFill>
                </w14:textFill>
              </w:rPr>
              <w:t>药师审查时，可在审查界面一体化查看当前处方（医嘱）历史干预记录，如医生操作、用药理由等。</w:t>
            </w:r>
          </w:p>
          <w:p w14:paraId="7645A40C">
            <w:pPr>
              <w:pStyle w:val="4"/>
              <w:pageBreakBefore w:val="0"/>
              <w:widowControl w:val="0"/>
              <w:numPr>
                <w:ilvl w:val="0"/>
                <w:numId w:val="7"/>
              </w:numPr>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药师审查时</w:t>
            </w:r>
            <w:r>
              <w:rPr>
                <w:rFonts w:hint="eastAsia" w:ascii="宋体" w:hAnsi="宋体" w:eastAsia="宋体" w:cs="宋体"/>
                <w:b w:val="0"/>
                <w:bCs w:val="0"/>
                <w:color w:val="000000" w:themeColor="text1"/>
                <w:sz w:val="24"/>
                <w:szCs w:val="24"/>
                <w:lang w:val="en-US" w:eastAsia="zh-CN"/>
                <w14:textFill>
                  <w14:solidFill>
                    <w14:schemeClr w14:val="tx1"/>
                  </w14:solidFill>
                </w14:textFill>
              </w:rPr>
              <w:t>要能</w:t>
            </w:r>
            <w:r>
              <w:rPr>
                <w:rFonts w:hint="eastAsia" w:ascii="宋体" w:hAnsi="宋体" w:eastAsia="宋体" w:cs="宋体"/>
                <w:b w:val="0"/>
                <w:bCs w:val="0"/>
                <w:color w:val="000000" w:themeColor="text1"/>
                <w:sz w:val="24"/>
                <w:szCs w:val="24"/>
                <w14:textFill>
                  <w14:solidFill>
                    <w14:schemeClr w14:val="tx1"/>
                  </w14:solidFill>
                </w14:textFill>
              </w:rPr>
              <w:t>查看当前处方（医嘱）历史修改版本信息。</w:t>
            </w:r>
          </w:p>
          <w:p w14:paraId="68B34E0D">
            <w:pPr>
              <w:pStyle w:val="4"/>
              <w:pageBreakBefore w:val="0"/>
              <w:widowControl w:val="0"/>
              <w:numPr>
                <w:ilvl w:val="0"/>
                <w:numId w:val="7"/>
              </w:numPr>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药师可</w:t>
            </w:r>
            <w:r>
              <w:rPr>
                <w:rFonts w:hint="eastAsia" w:ascii="宋体" w:hAnsi="宋体" w:eastAsia="宋体" w:cs="宋体"/>
                <w:b w:val="0"/>
                <w:bCs w:val="0"/>
                <w:color w:val="000000" w:themeColor="text1"/>
                <w:sz w:val="24"/>
                <w:szCs w:val="24"/>
                <w:lang w:val="en-US" w:eastAsia="zh-CN"/>
                <w14:textFill>
                  <w14:solidFill>
                    <w14:schemeClr w14:val="tx1"/>
                  </w14:solidFill>
                </w14:textFill>
              </w:rPr>
              <w:t>对</w:t>
            </w:r>
            <w:r>
              <w:rPr>
                <w:rFonts w:hint="eastAsia" w:ascii="宋体" w:hAnsi="宋体" w:eastAsia="宋体" w:cs="宋体"/>
                <w:b w:val="0"/>
                <w:bCs w:val="0"/>
                <w:color w:val="000000" w:themeColor="text1"/>
                <w:sz w:val="24"/>
                <w:szCs w:val="24"/>
                <w14:textFill>
                  <w14:solidFill>
                    <w14:schemeClr w14:val="tx1"/>
                  </w14:solidFill>
                </w14:textFill>
              </w:rPr>
              <w:t>审核意见中的重点文字</w:t>
            </w:r>
            <w:r>
              <w:rPr>
                <w:rFonts w:hint="eastAsia" w:ascii="宋体" w:hAnsi="宋体" w:eastAsia="宋体" w:cs="宋体"/>
                <w:b w:val="0"/>
                <w:bCs w:val="0"/>
                <w:color w:val="000000" w:themeColor="text1"/>
                <w:sz w:val="24"/>
                <w:szCs w:val="24"/>
                <w:lang w:val="en-US" w:eastAsia="zh-CN"/>
                <w14:textFill>
                  <w14:solidFill>
                    <w14:schemeClr w14:val="tx1"/>
                  </w14:solidFill>
                </w14:textFill>
              </w:rPr>
              <w:t>进行标注</w:t>
            </w:r>
            <w:r>
              <w:rPr>
                <w:rFonts w:hint="eastAsia" w:ascii="宋体" w:hAnsi="宋体" w:eastAsia="宋体" w:cs="宋体"/>
                <w:b w:val="0"/>
                <w:bCs w:val="0"/>
                <w:color w:val="000000" w:themeColor="text1"/>
                <w:sz w:val="24"/>
                <w:szCs w:val="24"/>
                <w14:textFill>
                  <w14:solidFill>
                    <w14:schemeClr w14:val="tx1"/>
                  </w14:solidFill>
                </w14:textFill>
              </w:rPr>
              <w:t>后发给医生。药师还可预设常用问题模板。</w:t>
            </w:r>
          </w:p>
          <w:p w14:paraId="41C645EE">
            <w:pPr>
              <w:pStyle w:val="4"/>
              <w:pageBreakBefore w:val="0"/>
              <w:widowControl w:val="0"/>
              <w:numPr>
                <w:ilvl w:val="0"/>
                <w:numId w:val="7"/>
              </w:numPr>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b/>
                <w:bCs/>
                <w:color w:val="000000"/>
              </w:rPr>
              <w:t>★</w:t>
            </w:r>
            <w:r>
              <w:rPr>
                <w:rFonts w:hint="eastAsia" w:ascii="宋体" w:hAnsi="宋体" w:eastAsia="宋体" w:cs="宋体"/>
                <w:b w:val="0"/>
                <w:bCs w:val="0"/>
                <w:color w:val="000000" w:themeColor="text1"/>
                <w:sz w:val="24"/>
                <w:szCs w:val="24"/>
                <w14:textFill>
                  <w14:solidFill>
                    <w14:schemeClr w14:val="tx1"/>
                  </w14:solidFill>
                </w14:textFill>
              </w:rPr>
              <w:t>药师可以根据不同任务情况选择医生处方（医嘱）直接双签通过还是需要药师复核。</w:t>
            </w:r>
          </w:p>
          <w:p w14:paraId="6E7582F1">
            <w:pPr>
              <w:pStyle w:val="4"/>
              <w:pageBreakBefore w:val="0"/>
              <w:widowControl w:val="0"/>
              <w:numPr>
                <w:ilvl w:val="0"/>
                <w:numId w:val="7"/>
              </w:numPr>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若一张处方（医嘱）通过前有多个修改版本，系统可以标记每个版本的处置状态。</w:t>
            </w:r>
          </w:p>
          <w:p w14:paraId="2D11F8A6">
            <w:pPr>
              <w:pageBreakBefore w:val="0"/>
              <w:widowControl w:val="0"/>
              <w:numPr>
                <w:ilvl w:val="0"/>
                <w:numId w:val="7"/>
              </w:numPr>
              <w:kinsoku/>
              <w:wordWrap/>
              <w:overflowPunct/>
              <w:topLinePunct w:val="0"/>
              <w:autoSpaceDE/>
              <w:autoSpaceDN/>
              <w:bidi w:val="0"/>
              <w:adjustRightInd/>
              <w:snapToGrid/>
              <w:spacing w:line="240" w:lineRule="auto"/>
              <w:ind w:left="420" w:hanging="42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b/>
                <w:bCs/>
                <w:color w:val="000000"/>
              </w:rPr>
              <w:t>★</w:t>
            </w:r>
            <w:r>
              <w:rPr>
                <w:rFonts w:hint="eastAsia" w:ascii="宋体" w:hAnsi="宋体" w:eastAsia="宋体" w:cs="宋体"/>
                <w:b w:val="0"/>
                <w:bCs w:val="0"/>
                <w:color w:val="000000" w:themeColor="text1"/>
                <w:sz w:val="24"/>
                <w:szCs w:val="24"/>
                <w14:textFill>
                  <w14:solidFill>
                    <w14:schemeClr w14:val="tx1"/>
                  </w14:solidFill>
                </w14:textFill>
              </w:rPr>
              <w:t>系统支持根据医生提交至药师处的中药处方智能检索近似经典方剂供药师参考。</w:t>
            </w:r>
          </w:p>
          <w:p w14:paraId="226E81A8">
            <w:pPr>
              <w:pageBreakBefore w:val="0"/>
              <w:widowControl w:val="0"/>
              <w:numPr>
                <w:ilvl w:val="0"/>
                <w:numId w:val="7"/>
              </w:numPr>
              <w:kinsoku/>
              <w:wordWrap/>
              <w:overflowPunct/>
              <w:topLinePunct w:val="0"/>
              <w:autoSpaceDE/>
              <w:autoSpaceDN/>
              <w:bidi w:val="0"/>
              <w:adjustRightInd/>
              <w:snapToGrid/>
              <w:spacing w:line="240" w:lineRule="auto"/>
              <w:ind w:left="420" w:hanging="42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患者信息查看：</w:t>
            </w:r>
          </w:p>
          <w:p w14:paraId="7744B7CC">
            <w:pPr>
              <w:pageBreakBefore w:val="0"/>
              <w:widowControl w:val="0"/>
              <w:numPr>
                <w:ilvl w:val="-1"/>
                <w:numId w:val="0"/>
              </w:numPr>
              <w:kinsoku/>
              <w:wordWrap/>
              <w:overflowPunct/>
              <w:topLinePunct w:val="0"/>
              <w:autoSpaceDE/>
              <w:autoSpaceDN/>
              <w:bidi w:val="0"/>
              <w:adjustRightInd/>
              <w:snapToGrid/>
              <w:spacing w:line="240" w:lineRule="auto"/>
              <w:ind w:left="0" w:firstLine="0" w:firstLineChars="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（1）药师审方界面：可查看患者基本信息、患者过敏史、手术信息、检验检查信息、会诊信息、病程记录，检验结果异常项可单独显示。可链接EMR系统查看患者详细信息。</w:t>
            </w:r>
            <w:r>
              <w:rPr>
                <w:rFonts w:hint="eastAsia" w:ascii="宋体" w:hAnsi="宋体" w:eastAsia="宋体" w:cs="宋体"/>
                <w:b w:val="0"/>
                <w:bCs w:val="0"/>
                <w:color w:val="000000" w:themeColor="text1"/>
                <w:sz w:val="24"/>
                <w:szCs w:val="24"/>
                <w14:textFill>
                  <w14:solidFill>
                    <w14:schemeClr w14:val="tx1"/>
                  </w14:solidFill>
                </w14:textFill>
              </w:rPr>
              <w:br w:type="textWrapping"/>
            </w:r>
            <w:r>
              <w:rPr>
                <w:rFonts w:hint="eastAsia" w:ascii="宋体" w:hAnsi="宋体" w:eastAsia="宋体" w:cs="宋体"/>
                <w:b w:val="0"/>
                <w:bCs w:val="0"/>
                <w:color w:val="000000" w:themeColor="text1"/>
                <w:sz w:val="24"/>
                <w:szCs w:val="24"/>
                <w14:textFill>
                  <w14:solidFill>
                    <w14:schemeClr w14:val="tx1"/>
                  </w14:solidFill>
                </w14:textFill>
              </w:rPr>
              <w:t>（2）可标记门诊特殊病人。</w:t>
            </w:r>
            <w:r>
              <w:rPr>
                <w:rFonts w:hint="eastAsia" w:ascii="宋体" w:hAnsi="宋体" w:eastAsia="宋体" w:cs="宋体"/>
                <w:b w:val="0"/>
                <w:bCs w:val="0"/>
                <w:color w:val="000000" w:themeColor="text1"/>
                <w:sz w:val="24"/>
                <w:szCs w:val="24"/>
                <w14:textFill>
                  <w14:solidFill>
                    <w14:schemeClr w14:val="tx1"/>
                  </w14:solidFill>
                </w14:textFill>
              </w:rPr>
              <w:br w:type="textWrapping"/>
            </w:r>
            <w:r>
              <w:rPr>
                <w:rFonts w:hint="eastAsia" w:ascii="宋体" w:hAnsi="宋体" w:eastAsia="宋体" w:cs="宋体"/>
                <w:b w:val="0"/>
                <w:bCs w:val="0"/>
                <w:color w:val="000000" w:themeColor="text1"/>
                <w:sz w:val="24"/>
                <w:szCs w:val="24"/>
                <w14:textFill>
                  <w14:solidFill>
                    <w14:schemeClr w14:val="tx1"/>
                  </w14:solidFill>
                </w14:textFill>
              </w:rPr>
              <w:t>（3）可标记慢病处方。</w:t>
            </w:r>
            <w:r>
              <w:rPr>
                <w:rFonts w:hint="eastAsia" w:ascii="宋体" w:hAnsi="宋体" w:eastAsia="宋体" w:cs="宋体"/>
                <w:b w:val="0"/>
                <w:bCs w:val="0"/>
                <w:color w:val="000000" w:themeColor="text1"/>
                <w:sz w:val="24"/>
                <w:szCs w:val="24"/>
                <w14:textFill>
                  <w14:solidFill>
                    <w14:schemeClr w14:val="tx1"/>
                  </w14:solidFill>
                </w14:textFill>
              </w:rPr>
              <w:br w:type="textWrapping"/>
            </w:r>
            <w:r>
              <w:rPr>
                <w:rFonts w:hint="eastAsia" w:ascii="宋体" w:hAnsi="宋体" w:eastAsia="宋体" w:cs="宋体"/>
                <w:b w:val="0"/>
                <w:bCs w:val="0"/>
                <w:color w:val="000000" w:themeColor="text1"/>
                <w:sz w:val="24"/>
                <w:szCs w:val="24"/>
                <w14:textFill>
                  <w14:solidFill>
                    <w14:schemeClr w14:val="tx1"/>
                  </w14:solidFill>
                </w14:textFill>
              </w:rPr>
              <w:t>（4）药师审查时可查看当前患者的其他处方。</w:t>
            </w:r>
          </w:p>
          <w:p w14:paraId="2F888060">
            <w:pPr>
              <w:pageBreakBefore w:val="0"/>
              <w:widowControl w:val="0"/>
              <w:numPr>
                <w:ilvl w:val="0"/>
                <w:numId w:val="7"/>
              </w:numPr>
              <w:kinsoku/>
              <w:wordWrap/>
              <w:overflowPunct/>
              <w:topLinePunct w:val="0"/>
              <w:autoSpaceDE/>
              <w:autoSpaceDN/>
              <w:bidi w:val="0"/>
              <w:adjustRightInd/>
              <w:snapToGrid/>
              <w:spacing w:line="240" w:lineRule="auto"/>
              <w:ind w:left="420" w:hanging="42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系统审查：系统审查项目、规则等应与医生端审方系统保持一致，并能实现无缝对接，即药师端可查看医生端审方系统的详细审查结果信息，同时药师审核问题标准可按医生端审方系统的审查项目和问题级别进行设置。</w:t>
            </w:r>
          </w:p>
        </w:tc>
      </w:tr>
      <w:tr w14:paraId="7097B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5F5860">
            <w:pPr>
              <w:pageBreakBefore w:val="0"/>
              <w:widowControl w:val="0"/>
              <w:numPr>
                <w:ilvl w:val="0"/>
                <w:numId w:val="6"/>
              </w:numPr>
              <w:kinsoku/>
              <w:wordWrap/>
              <w:overflowPunct/>
              <w:topLinePunct w:val="0"/>
              <w:autoSpaceDE/>
              <w:autoSpaceDN/>
              <w:bidi w:val="0"/>
              <w:adjustRightInd/>
              <w:snapToGrid/>
              <w:spacing w:line="240" w:lineRule="auto"/>
              <w:ind w:left="425" w:hanging="425"/>
              <w:textAlignment w:val="auto"/>
              <w:rPr>
                <w:rFonts w:hint="eastAsia" w:ascii="宋体" w:hAnsi="宋体" w:eastAsia="宋体" w:cs="宋体"/>
                <w:b w:val="0"/>
                <w:bCs w:val="0"/>
                <w:color w:val="000000" w:themeColor="text1"/>
                <w:sz w:val="24"/>
                <w:szCs w:val="24"/>
                <w14:textFill>
                  <w14:solidFill>
                    <w14:schemeClr w14:val="tx1"/>
                  </w14:solidFill>
                </w14:textFill>
              </w:rPr>
            </w:pPr>
          </w:p>
        </w:tc>
        <w:tc>
          <w:tcPr>
            <w:tcW w:w="12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CE0344">
            <w:pPr>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审方干预自定义功能</w:t>
            </w:r>
          </w:p>
        </w:tc>
        <w:tc>
          <w:tcPr>
            <w:tcW w:w="73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FE6787">
            <w:pPr>
              <w:pStyle w:val="26"/>
              <w:pageBreakBefore w:val="0"/>
              <w:widowControl w:val="0"/>
              <w:numPr>
                <w:ilvl w:val="0"/>
                <w:numId w:val="8"/>
              </w:numPr>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b/>
                <w:bCs/>
                <w:color w:val="000000"/>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支持</w:t>
            </w:r>
            <w:r>
              <w:rPr>
                <w:rFonts w:hint="eastAsia" w:ascii="宋体" w:hAnsi="宋体" w:eastAsia="宋体" w:cs="宋体"/>
                <w:b w:val="0"/>
                <w:bCs w:val="0"/>
                <w:color w:val="000000" w:themeColor="text1"/>
                <w:sz w:val="24"/>
                <w:szCs w:val="24"/>
                <w14:textFill>
                  <w14:solidFill>
                    <w14:schemeClr w14:val="tx1"/>
                  </w14:solidFill>
                </w14:textFill>
              </w:rPr>
              <w:t>任意科室、医生、患者、疾病、药品设置为重点关注，可按科室、医生、患者、疾病、药品、问题类型、警示级别多条件组合设置重点关注，包含重点关注信息的处方由药师进行全面审查。</w:t>
            </w:r>
          </w:p>
          <w:p w14:paraId="62E85E56">
            <w:pPr>
              <w:pStyle w:val="26"/>
              <w:pageBreakBefore w:val="0"/>
              <w:widowControl w:val="0"/>
              <w:numPr>
                <w:ilvl w:val="0"/>
                <w:numId w:val="8"/>
              </w:numPr>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支持</w:t>
            </w:r>
            <w:r>
              <w:rPr>
                <w:rFonts w:hint="eastAsia" w:ascii="宋体" w:hAnsi="宋体" w:eastAsia="宋体" w:cs="宋体"/>
                <w:b w:val="0"/>
                <w:bCs w:val="0"/>
                <w:color w:val="000000" w:themeColor="text1"/>
                <w:sz w:val="24"/>
                <w:szCs w:val="24"/>
                <w14:textFill>
                  <w14:solidFill>
                    <w14:schemeClr w14:val="tx1"/>
                  </w14:solidFill>
                </w14:textFill>
              </w:rPr>
              <w:t>设置双盲审方、单盲审方，在需要时隐藏医生、药师信息。</w:t>
            </w:r>
          </w:p>
          <w:p w14:paraId="0A79755A">
            <w:pPr>
              <w:pageBreakBefore w:val="0"/>
              <w:widowControl w:val="0"/>
              <w:numPr>
                <w:ilvl w:val="0"/>
                <w:numId w:val="8"/>
              </w:numPr>
              <w:kinsoku/>
              <w:wordWrap/>
              <w:overflowPunct/>
              <w:topLinePunct w:val="0"/>
              <w:autoSpaceDE/>
              <w:autoSpaceDN/>
              <w:bidi w:val="0"/>
              <w:adjustRightInd/>
              <w:snapToGrid/>
              <w:spacing w:line="240" w:lineRule="auto"/>
              <w:ind w:left="420" w:hanging="42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b/>
                <w:bCs/>
                <w:color w:val="000000"/>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支持</w:t>
            </w:r>
            <w:r>
              <w:rPr>
                <w:rFonts w:hint="eastAsia" w:ascii="宋体" w:hAnsi="宋体" w:eastAsia="宋体" w:cs="宋体"/>
                <w:b w:val="0"/>
                <w:bCs w:val="0"/>
                <w:color w:val="000000" w:themeColor="text1"/>
                <w:sz w:val="24"/>
                <w:szCs w:val="24"/>
                <w14:textFill>
                  <w14:solidFill>
                    <w14:schemeClr w14:val="tx1"/>
                  </w14:solidFill>
                </w14:textFill>
              </w:rPr>
              <w:t>设置自动干预模式，并设置医生填写用药理由的模式。药师不在岗时，系统自动干预，医生填写用药理由后方可执行，支持全院和分科室设置。</w:t>
            </w:r>
          </w:p>
        </w:tc>
      </w:tr>
      <w:tr w14:paraId="2E5DF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D99632">
            <w:pPr>
              <w:pageBreakBefore w:val="0"/>
              <w:widowControl w:val="0"/>
              <w:numPr>
                <w:ilvl w:val="0"/>
                <w:numId w:val="6"/>
              </w:numPr>
              <w:kinsoku/>
              <w:wordWrap/>
              <w:overflowPunct/>
              <w:topLinePunct w:val="0"/>
              <w:autoSpaceDE/>
              <w:autoSpaceDN/>
              <w:bidi w:val="0"/>
              <w:adjustRightInd/>
              <w:snapToGrid/>
              <w:spacing w:line="240" w:lineRule="auto"/>
              <w:ind w:left="425" w:hanging="425"/>
              <w:textAlignment w:val="auto"/>
              <w:rPr>
                <w:rFonts w:hint="eastAsia" w:ascii="宋体" w:hAnsi="宋体" w:eastAsia="宋体" w:cs="宋体"/>
                <w:b w:val="0"/>
                <w:bCs w:val="0"/>
                <w:color w:val="000000" w:themeColor="text1"/>
                <w:sz w:val="24"/>
                <w:szCs w:val="24"/>
                <w14:textFill>
                  <w14:solidFill>
                    <w14:schemeClr w14:val="tx1"/>
                  </w14:solidFill>
                </w14:textFill>
              </w:rPr>
            </w:pPr>
          </w:p>
        </w:tc>
        <w:tc>
          <w:tcPr>
            <w:tcW w:w="12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63EAAE">
            <w:pPr>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统计分析</w:t>
            </w:r>
          </w:p>
        </w:tc>
        <w:tc>
          <w:tcPr>
            <w:tcW w:w="73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0BC128">
            <w:pPr>
              <w:pStyle w:val="26"/>
              <w:pageBreakBefore w:val="0"/>
              <w:widowControl w:val="0"/>
              <w:numPr>
                <w:ilvl w:val="0"/>
                <w:numId w:val="9"/>
              </w:numPr>
              <w:kinsoku/>
              <w:wordWrap/>
              <w:overflowPunct/>
              <w:topLinePunct w:val="0"/>
              <w:autoSpaceDE/>
              <w:autoSpaceDN/>
              <w:bidi w:val="0"/>
              <w:adjustRightInd/>
              <w:snapToGrid/>
              <w:spacing w:line="240" w:lineRule="auto"/>
              <w:ind w:left="420" w:hanging="42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支持药师</w:t>
            </w:r>
            <w:r>
              <w:rPr>
                <w:rFonts w:hint="eastAsia" w:ascii="宋体" w:hAnsi="宋体" w:eastAsia="宋体" w:cs="宋体"/>
                <w:b w:val="0"/>
                <w:bCs w:val="0"/>
                <w:color w:val="000000" w:themeColor="text1"/>
                <w:sz w:val="24"/>
                <w:szCs w:val="24"/>
                <w14:textFill>
                  <w14:solidFill>
                    <w14:schemeClr w14:val="tx1"/>
                  </w14:solidFill>
                </w14:textFill>
              </w:rPr>
              <w:t>统计门诊、住院任务的审核率、干预率、合格率等重要指标，并可提供统计图。可按照科室、医生、药品、药师、药物类进行干预情况分类统计。</w:t>
            </w:r>
          </w:p>
          <w:p w14:paraId="5AFDDA8B">
            <w:pPr>
              <w:pStyle w:val="26"/>
              <w:pageBreakBefore w:val="0"/>
              <w:widowControl w:val="0"/>
              <w:numPr>
                <w:ilvl w:val="0"/>
                <w:numId w:val="9"/>
              </w:numPr>
              <w:kinsoku/>
              <w:wordWrap/>
              <w:overflowPunct/>
              <w:topLinePunct w:val="0"/>
              <w:autoSpaceDE/>
              <w:autoSpaceDN/>
              <w:bidi w:val="0"/>
              <w:adjustRightInd/>
              <w:snapToGrid/>
              <w:spacing w:line="240" w:lineRule="auto"/>
              <w:ind w:left="420" w:hanging="42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支持药师</w:t>
            </w:r>
            <w:r>
              <w:rPr>
                <w:rFonts w:hint="eastAsia" w:ascii="宋体" w:hAnsi="宋体" w:eastAsia="宋体" w:cs="宋体"/>
                <w:b w:val="0"/>
                <w:bCs w:val="0"/>
                <w:color w:val="000000" w:themeColor="text1"/>
                <w:sz w:val="24"/>
                <w:szCs w:val="24"/>
                <w14:textFill>
                  <w14:solidFill>
                    <w14:schemeClr w14:val="tx1"/>
                  </w14:solidFill>
                </w14:textFill>
              </w:rPr>
              <w:t>统计每个药师的监测时长、审核工作量、干预工作量和干预有效率，并可提供统计图。</w:t>
            </w:r>
          </w:p>
          <w:p w14:paraId="57B5FD7B">
            <w:pPr>
              <w:pStyle w:val="26"/>
              <w:pageBreakBefore w:val="0"/>
              <w:widowControl w:val="0"/>
              <w:numPr>
                <w:ilvl w:val="0"/>
                <w:numId w:val="9"/>
              </w:numPr>
              <w:kinsoku/>
              <w:wordWrap/>
              <w:overflowPunct/>
              <w:topLinePunct w:val="0"/>
              <w:autoSpaceDE/>
              <w:autoSpaceDN/>
              <w:bidi w:val="0"/>
              <w:adjustRightInd/>
              <w:snapToGrid/>
              <w:spacing w:line="240" w:lineRule="auto"/>
              <w:ind w:left="420" w:hanging="42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支持药师进行</w:t>
            </w:r>
            <w:r>
              <w:rPr>
                <w:rFonts w:hint="eastAsia" w:ascii="宋体" w:hAnsi="宋体" w:eastAsia="宋体" w:cs="宋体"/>
                <w:b w:val="0"/>
                <w:bCs w:val="0"/>
                <w:color w:val="000000" w:themeColor="text1"/>
                <w:sz w:val="24"/>
                <w:szCs w:val="24"/>
                <w14:textFill>
                  <w14:solidFill>
                    <w14:schemeClr w14:val="tx1"/>
                  </w14:solidFill>
                </w14:textFill>
              </w:rPr>
              <w:t>不合理问题统计分析，支持按时间、问题类型、警示等级等条件进行统计，并可生成统计图。可以查看在人工审方时药师主动添加的问题的发生次数、发生率。</w:t>
            </w:r>
          </w:p>
          <w:p w14:paraId="7BCA429A">
            <w:pPr>
              <w:pStyle w:val="26"/>
              <w:pageBreakBefore w:val="0"/>
              <w:widowControl w:val="0"/>
              <w:numPr>
                <w:ilvl w:val="0"/>
                <w:numId w:val="9"/>
              </w:numPr>
              <w:kinsoku/>
              <w:wordWrap/>
              <w:overflowPunct/>
              <w:topLinePunct w:val="0"/>
              <w:autoSpaceDE/>
              <w:autoSpaceDN/>
              <w:bidi w:val="0"/>
              <w:adjustRightInd/>
              <w:snapToGrid/>
              <w:spacing w:line="240" w:lineRule="auto"/>
              <w:ind w:left="420" w:hanging="42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支持药师</w:t>
            </w:r>
            <w:r>
              <w:rPr>
                <w:rFonts w:hint="eastAsia" w:ascii="宋体" w:hAnsi="宋体" w:eastAsia="宋体" w:cs="宋体"/>
                <w:b w:val="0"/>
                <w:bCs w:val="0"/>
                <w:color w:val="000000" w:themeColor="text1"/>
                <w:sz w:val="24"/>
                <w:szCs w:val="24"/>
                <w14:textFill>
                  <w14:solidFill>
                    <w14:schemeClr w14:val="tx1"/>
                  </w14:solidFill>
                </w14:textFill>
              </w:rPr>
              <w:t>分科室、医生、药品、问题类型提供干预效果追踪，并以统计图的方式体现干预效果。</w:t>
            </w:r>
          </w:p>
          <w:p w14:paraId="196A15DE">
            <w:pPr>
              <w:pStyle w:val="26"/>
              <w:pageBreakBefore w:val="0"/>
              <w:widowControl w:val="0"/>
              <w:numPr>
                <w:ilvl w:val="0"/>
                <w:numId w:val="9"/>
              </w:numPr>
              <w:kinsoku/>
              <w:wordWrap/>
              <w:overflowPunct/>
              <w:topLinePunct w:val="0"/>
              <w:autoSpaceDE/>
              <w:autoSpaceDN/>
              <w:bidi w:val="0"/>
              <w:adjustRightInd/>
              <w:snapToGrid/>
              <w:spacing w:line="240" w:lineRule="auto"/>
              <w:ind w:left="420" w:hanging="42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支持药师</w:t>
            </w:r>
            <w:r>
              <w:rPr>
                <w:rFonts w:hint="eastAsia" w:ascii="宋体" w:hAnsi="宋体" w:eastAsia="宋体" w:cs="宋体"/>
                <w:b w:val="0"/>
                <w:bCs w:val="0"/>
                <w:color w:val="000000" w:themeColor="text1"/>
                <w:sz w:val="24"/>
                <w:szCs w:val="24"/>
                <w14:textFill>
                  <w14:solidFill>
                    <w14:schemeClr w14:val="tx1"/>
                  </w14:solidFill>
                </w14:textFill>
              </w:rPr>
              <w:t>按不同的处方（医嘱）通过状态进行统计，并可生成统计图。</w:t>
            </w:r>
          </w:p>
          <w:p w14:paraId="5B9997B6">
            <w:pPr>
              <w:pageBreakBefore w:val="0"/>
              <w:widowControl w:val="0"/>
              <w:numPr>
                <w:ilvl w:val="0"/>
                <w:numId w:val="9"/>
              </w:numPr>
              <w:kinsoku/>
              <w:wordWrap/>
              <w:overflowPunct/>
              <w:topLinePunct w:val="0"/>
              <w:autoSpaceDE/>
              <w:autoSpaceDN/>
              <w:bidi w:val="0"/>
              <w:adjustRightInd/>
              <w:snapToGrid/>
              <w:spacing w:line="240" w:lineRule="auto"/>
              <w:ind w:left="420" w:hanging="42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支持</w:t>
            </w:r>
            <w:r>
              <w:rPr>
                <w:rFonts w:hint="eastAsia" w:ascii="宋体" w:hAnsi="宋体" w:eastAsia="宋体" w:cs="宋体"/>
                <w:b w:val="0"/>
                <w:bCs w:val="0"/>
                <w:color w:val="000000" w:themeColor="text1"/>
                <w:sz w:val="24"/>
                <w:szCs w:val="24"/>
                <w14:textFill>
                  <w14:solidFill>
                    <w14:schemeClr w14:val="tx1"/>
                  </w14:solidFill>
                </w14:textFill>
              </w:rPr>
              <w:t>医生查看自身任务的审核干预相关统计数据。</w:t>
            </w:r>
          </w:p>
        </w:tc>
      </w:tr>
      <w:tr w14:paraId="5B7B9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A741C2">
            <w:pPr>
              <w:pageBreakBefore w:val="0"/>
              <w:widowControl w:val="0"/>
              <w:numPr>
                <w:ilvl w:val="0"/>
                <w:numId w:val="6"/>
              </w:numPr>
              <w:kinsoku/>
              <w:wordWrap/>
              <w:overflowPunct/>
              <w:topLinePunct w:val="0"/>
              <w:autoSpaceDE/>
              <w:autoSpaceDN/>
              <w:bidi w:val="0"/>
              <w:adjustRightInd/>
              <w:snapToGrid/>
              <w:spacing w:line="240" w:lineRule="auto"/>
              <w:ind w:left="425" w:hanging="425"/>
              <w:textAlignment w:val="auto"/>
              <w:rPr>
                <w:rFonts w:hint="eastAsia" w:ascii="宋体" w:hAnsi="宋体" w:eastAsia="宋体" w:cs="宋体"/>
                <w:b w:val="0"/>
                <w:bCs w:val="0"/>
                <w:color w:val="000000" w:themeColor="text1"/>
                <w:sz w:val="24"/>
                <w:szCs w:val="24"/>
                <w14:textFill>
                  <w14:solidFill>
                    <w14:schemeClr w14:val="tx1"/>
                  </w14:solidFill>
                </w14:textFill>
              </w:rPr>
            </w:pPr>
          </w:p>
        </w:tc>
        <w:tc>
          <w:tcPr>
            <w:tcW w:w="12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9299DF">
            <w:pPr>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质量评价功能</w:t>
            </w:r>
          </w:p>
        </w:tc>
        <w:tc>
          <w:tcPr>
            <w:tcW w:w="73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E9222D">
            <w:pPr>
              <w:pStyle w:val="4"/>
              <w:pageBreakBefore w:val="0"/>
              <w:widowControl w:val="0"/>
              <w:numPr>
                <w:ilvl w:val="0"/>
                <w:numId w:val="10"/>
              </w:numPr>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多种筛选方案设置功能，进行待评价任务筛选。评价人可对每个任务输入审核意见并打分。系统</w:t>
            </w:r>
            <w:r>
              <w:rPr>
                <w:rFonts w:hint="eastAsia" w:ascii="宋体" w:hAnsi="宋体" w:eastAsia="宋体" w:cs="宋体"/>
                <w:b w:val="0"/>
                <w:bCs w:val="0"/>
                <w:color w:val="000000" w:themeColor="text1"/>
                <w:sz w:val="24"/>
                <w:szCs w:val="24"/>
                <w:lang w:val="en-US" w:eastAsia="zh-CN"/>
                <w14:textFill>
                  <w14:solidFill>
                    <w14:schemeClr w14:val="tx1"/>
                  </w14:solidFill>
                </w14:textFill>
              </w:rPr>
              <w:t>要</w:t>
            </w:r>
            <w:r>
              <w:rPr>
                <w:rFonts w:hint="eastAsia" w:ascii="宋体" w:hAnsi="宋体" w:eastAsia="宋体" w:cs="宋体"/>
                <w:b w:val="0"/>
                <w:bCs w:val="0"/>
                <w:color w:val="000000" w:themeColor="text1"/>
                <w:sz w:val="24"/>
                <w:szCs w:val="24"/>
                <w14:textFill>
                  <w14:solidFill>
                    <w14:schemeClr w14:val="tx1"/>
                  </w14:solidFill>
                </w14:textFill>
              </w:rPr>
              <w:t>生成任务评分表，并可导出到Excel。</w:t>
            </w:r>
          </w:p>
          <w:p w14:paraId="5B25FD84">
            <w:pPr>
              <w:pStyle w:val="4"/>
              <w:pageBreakBefore w:val="0"/>
              <w:widowControl w:val="0"/>
              <w:numPr>
                <w:ilvl w:val="0"/>
                <w:numId w:val="10"/>
              </w:numPr>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评价人可评估历史审核任务并设置问题推荐处置方案，供审方药师审核同一问题时参考。</w:t>
            </w:r>
          </w:p>
        </w:tc>
      </w:tr>
      <w:tr w14:paraId="0F55E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12536E">
            <w:pPr>
              <w:pageBreakBefore w:val="0"/>
              <w:widowControl w:val="0"/>
              <w:numPr>
                <w:ilvl w:val="0"/>
                <w:numId w:val="6"/>
              </w:numPr>
              <w:kinsoku/>
              <w:wordWrap/>
              <w:overflowPunct/>
              <w:topLinePunct w:val="0"/>
              <w:autoSpaceDE/>
              <w:autoSpaceDN/>
              <w:bidi w:val="0"/>
              <w:adjustRightInd/>
              <w:snapToGrid/>
              <w:spacing w:line="240" w:lineRule="auto"/>
              <w:ind w:left="425" w:hanging="425"/>
              <w:textAlignment w:val="auto"/>
              <w:rPr>
                <w:rFonts w:hint="eastAsia" w:ascii="宋体" w:hAnsi="宋体" w:eastAsia="宋体" w:cs="宋体"/>
                <w:b w:val="0"/>
                <w:bCs w:val="0"/>
                <w:color w:val="000000" w:themeColor="text1"/>
                <w:sz w:val="24"/>
                <w:szCs w:val="24"/>
                <w14:textFill>
                  <w14:solidFill>
                    <w14:schemeClr w14:val="tx1"/>
                  </w14:solidFill>
                </w14:textFill>
              </w:rPr>
            </w:pPr>
          </w:p>
        </w:tc>
        <w:tc>
          <w:tcPr>
            <w:tcW w:w="12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17A21D">
            <w:pPr>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大屏展示功能</w:t>
            </w:r>
          </w:p>
        </w:tc>
        <w:tc>
          <w:tcPr>
            <w:tcW w:w="73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B315BE">
            <w:pPr>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支持将重要审方指标通过图表在用户大屏上展示。</w:t>
            </w:r>
          </w:p>
        </w:tc>
      </w:tr>
      <w:tr w14:paraId="22B4F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7D7200">
            <w:pPr>
              <w:pageBreakBefore w:val="0"/>
              <w:widowControl w:val="0"/>
              <w:numPr>
                <w:ilvl w:val="0"/>
                <w:numId w:val="6"/>
              </w:numPr>
              <w:kinsoku/>
              <w:wordWrap/>
              <w:overflowPunct/>
              <w:topLinePunct w:val="0"/>
              <w:autoSpaceDE/>
              <w:autoSpaceDN/>
              <w:bidi w:val="0"/>
              <w:adjustRightInd/>
              <w:snapToGrid/>
              <w:spacing w:line="240" w:lineRule="auto"/>
              <w:ind w:left="425" w:hanging="425"/>
              <w:textAlignment w:val="auto"/>
              <w:rPr>
                <w:rFonts w:hint="eastAsia" w:ascii="宋体" w:hAnsi="宋体" w:eastAsia="宋体" w:cs="宋体"/>
                <w:b w:val="0"/>
                <w:bCs w:val="0"/>
                <w:color w:val="000000" w:themeColor="text1"/>
                <w:sz w:val="24"/>
                <w:szCs w:val="24"/>
                <w14:textFill>
                  <w14:solidFill>
                    <w14:schemeClr w14:val="tx1"/>
                  </w14:solidFill>
                </w14:textFill>
              </w:rPr>
            </w:pPr>
          </w:p>
        </w:tc>
        <w:tc>
          <w:tcPr>
            <w:tcW w:w="12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01FB43">
            <w:pPr>
              <w:pageBreakBefore w:val="0"/>
              <w:widowControl w:val="0"/>
              <w:kinsoku/>
              <w:wordWrap/>
              <w:overflowPunct/>
              <w:topLinePunct w:val="0"/>
              <w:autoSpaceDE/>
              <w:autoSpaceDN/>
              <w:bidi w:val="0"/>
              <w:adjustRightInd/>
              <w:snapToGrid/>
              <w:spacing w:line="240" w:lineRule="auto"/>
              <w:textAlignment w:val="auto"/>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互联网</w:t>
            </w:r>
            <w:r>
              <w:rPr>
                <w:rFonts w:hint="eastAsia" w:ascii="宋体" w:hAnsi="宋体" w:eastAsia="宋体" w:cs="宋体"/>
                <w:color w:val="000000" w:themeColor="text1"/>
                <w:szCs w:val="24"/>
                <w:lang w:val="en-US" w:eastAsia="zh-CN"/>
                <w14:textFill>
                  <w14:solidFill>
                    <w14:schemeClr w14:val="tx1"/>
                  </w14:solidFill>
                </w14:textFill>
              </w:rPr>
              <w:t>医院</w:t>
            </w:r>
            <w:r>
              <w:rPr>
                <w:rFonts w:hint="eastAsia" w:ascii="宋体" w:hAnsi="宋体" w:eastAsia="宋体" w:cs="宋体"/>
                <w:color w:val="000000" w:themeColor="text1"/>
                <w:szCs w:val="24"/>
                <w14:textFill>
                  <w14:solidFill>
                    <w14:schemeClr w14:val="tx1"/>
                  </w14:solidFill>
                </w14:textFill>
              </w:rPr>
              <w:t>审方功能要求</w:t>
            </w:r>
          </w:p>
        </w:tc>
        <w:tc>
          <w:tcPr>
            <w:tcW w:w="73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C10932">
            <w:pPr>
              <w:pageBreakBefore w:val="0"/>
              <w:widowControl w:val="0"/>
              <w:kinsoku/>
              <w:wordWrap/>
              <w:overflowPunct/>
              <w:topLinePunct w:val="0"/>
              <w:autoSpaceDE/>
              <w:autoSpaceDN/>
              <w:bidi w:val="0"/>
              <w:adjustRightInd/>
              <w:snapToGrid/>
              <w:spacing w:line="240" w:lineRule="auto"/>
              <w:textAlignment w:val="auto"/>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b/>
                <w:bCs/>
                <w:color w:val="000000"/>
              </w:rPr>
              <w:t>▲</w:t>
            </w:r>
            <w:r>
              <w:rPr>
                <w:rFonts w:hint="eastAsia" w:ascii="宋体" w:hAnsi="宋体" w:eastAsia="宋体" w:cs="宋体"/>
                <w:color w:val="000000" w:themeColor="text1"/>
                <w:szCs w:val="24"/>
                <w14:textFill>
                  <w14:solidFill>
                    <w14:schemeClr w14:val="tx1"/>
                  </w14:solidFill>
                </w14:textFill>
              </w:rPr>
              <w:t>药师可对来自互联网医院的处方进行审查干预，并可在审方时与医生进行在线交互。未经药师审核通过的处方，不可进入缴费环节。</w:t>
            </w:r>
          </w:p>
        </w:tc>
      </w:tr>
    </w:tbl>
    <w:p w14:paraId="4DCDD516">
      <w:pPr>
        <w:keepNext w:val="0"/>
        <w:keepLines w:val="0"/>
        <w:pageBreakBefore w:val="0"/>
        <w:widowControl w:val="0"/>
        <w:kinsoku/>
        <w:wordWrap/>
        <w:overflowPunct/>
        <w:topLinePunct w:val="0"/>
        <w:autoSpaceDE/>
        <w:autoSpaceDN/>
        <w:bidi w:val="0"/>
        <w:adjustRightInd/>
        <w:snapToGrid/>
        <w:spacing w:before="164" w:beforeLines="50" w:line="240" w:lineRule="auto"/>
        <w:textAlignment w:val="auto"/>
        <w:rPr>
          <w:rFonts w:hint="eastAsia" w:ascii="宋体" w:hAnsi="宋体" w:eastAsia="宋体" w:cs="宋体"/>
          <w:b/>
          <w:bCs/>
          <w:color w:val="000000" w:themeColor="text1"/>
          <w:sz w:val="24"/>
          <w:szCs w:val="24"/>
          <w:lang w:eastAsia="zh-CN"/>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集采药品管控功能要求</w:t>
      </w:r>
      <w:r>
        <w:rPr>
          <w:rFonts w:hint="eastAsia" w:ascii="宋体" w:hAnsi="宋体" w:eastAsia="宋体" w:cs="宋体"/>
          <w:b/>
          <w:bCs/>
          <w:color w:val="000000" w:themeColor="text1"/>
          <w:sz w:val="24"/>
          <w:szCs w:val="24"/>
          <w:lang w:eastAsia="zh-CN"/>
          <w14:textFill>
            <w14:solidFill>
              <w14:schemeClr w14:val="tx1"/>
            </w14:solidFill>
          </w14:textFill>
        </w:rPr>
        <w:t>：</w:t>
      </w:r>
    </w:p>
    <w:tbl>
      <w:tblPr>
        <w:tblStyle w:val="15"/>
        <w:tblW w:w="93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1249"/>
        <w:gridCol w:w="7370"/>
      </w:tblGrid>
      <w:tr w14:paraId="17598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70" w:type="dxa"/>
            <w:tcBorders>
              <w:top w:val="single" w:color="000000" w:sz="4" w:space="0"/>
              <w:left w:val="single" w:color="000000" w:sz="4" w:space="0"/>
              <w:bottom w:val="single" w:color="000000" w:sz="4" w:space="0"/>
              <w:right w:val="single" w:color="000000" w:sz="4" w:space="0"/>
              <w:tl2br w:val="nil"/>
            </w:tcBorders>
            <w:shd w:val="clear" w:color="auto" w:fill="FFFFFF"/>
            <w:vAlign w:val="center"/>
          </w:tcPr>
          <w:p w14:paraId="0A712D2F">
            <w:pPr>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000000" w:themeColor="text1"/>
                <w:sz w:val="24"/>
                <w:szCs w:val="24"/>
                <w14:textFill>
                  <w14:solidFill>
                    <w14:schemeClr w14:val="tx1"/>
                  </w14:solidFill>
                </w14:textFill>
              </w:rPr>
            </w:pPr>
            <w:bookmarkStart w:id="2" w:name="_Hlk109920880"/>
            <w:r>
              <w:rPr>
                <w:rFonts w:ascii="宋体" w:hAnsi="宋体" w:eastAsia="宋体" w:cs="宋体"/>
                <w:b/>
                <w:bCs/>
                <w:color w:val="000000" w:themeColor="text1"/>
                <w:sz w:val="24"/>
                <w:szCs w:val="24"/>
                <w14:textFill>
                  <w14:solidFill>
                    <w14:schemeClr w14:val="tx1"/>
                  </w14:solidFill>
                </w14:textFill>
              </w:rPr>
              <w:t>序号</w:t>
            </w:r>
          </w:p>
        </w:tc>
        <w:tc>
          <w:tcPr>
            <w:tcW w:w="12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836A8F">
            <w:pPr>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000000" w:themeColor="text1"/>
                <w:sz w:val="24"/>
                <w:szCs w:val="24"/>
                <w14:textFill>
                  <w14:solidFill>
                    <w14:schemeClr w14:val="tx1"/>
                  </w14:solidFill>
                </w14:textFill>
              </w:rPr>
            </w:pPr>
            <w:r>
              <w:rPr>
                <w:rFonts w:ascii="宋体" w:hAnsi="宋体" w:eastAsia="宋体" w:cs="宋体"/>
                <w:b/>
                <w:bCs/>
                <w:color w:val="000000" w:themeColor="text1"/>
                <w:sz w:val="24"/>
                <w:szCs w:val="24"/>
                <w14:textFill>
                  <w14:solidFill>
                    <w14:schemeClr w14:val="tx1"/>
                  </w14:solidFill>
                </w14:textFill>
              </w:rPr>
              <w:t>子项</w:t>
            </w:r>
          </w:p>
        </w:tc>
        <w:tc>
          <w:tcPr>
            <w:tcW w:w="73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5DF832">
            <w:pPr>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000000" w:themeColor="text1"/>
                <w:sz w:val="24"/>
                <w:szCs w:val="24"/>
                <w14:textFill>
                  <w14:solidFill>
                    <w14:schemeClr w14:val="tx1"/>
                  </w14:solidFill>
                </w14:textFill>
              </w:rPr>
            </w:pPr>
            <w:r>
              <w:rPr>
                <w:rFonts w:ascii="宋体" w:hAnsi="宋体" w:eastAsia="宋体" w:cs="宋体"/>
                <w:b/>
                <w:bCs/>
                <w:color w:val="000000" w:themeColor="text1"/>
                <w:sz w:val="24"/>
                <w:szCs w:val="24"/>
                <w14:textFill>
                  <w14:solidFill>
                    <w14:schemeClr w14:val="tx1"/>
                  </w14:solidFill>
                </w14:textFill>
              </w:rPr>
              <w:t>详细要求</w:t>
            </w:r>
          </w:p>
        </w:tc>
      </w:tr>
      <w:tr w14:paraId="6B0C7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6BDBBA">
            <w:pPr>
              <w:pStyle w:val="26"/>
              <w:pageBreakBefore w:val="0"/>
              <w:widowControl w:val="0"/>
              <w:numPr>
                <w:ilvl w:val="0"/>
                <w:numId w:val="11"/>
              </w:numPr>
              <w:kinsoku/>
              <w:wordWrap/>
              <w:overflowPunct/>
              <w:topLinePunct w:val="0"/>
              <w:autoSpaceDE/>
              <w:autoSpaceDN/>
              <w:bidi w:val="0"/>
              <w:adjustRightInd/>
              <w:snapToGrid/>
              <w:spacing w:line="240" w:lineRule="auto"/>
              <w:ind w:left="425" w:hanging="425"/>
              <w:textAlignment w:val="auto"/>
              <w:rPr>
                <w:rFonts w:hint="eastAsia" w:ascii="宋体" w:hAnsi="宋体" w:eastAsia="宋体" w:cs="宋体"/>
                <w:b w:val="0"/>
                <w:bCs w:val="0"/>
                <w:color w:val="000000" w:themeColor="text1"/>
                <w:sz w:val="24"/>
                <w:szCs w:val="24"/>
                <w14:textFill>
                  <w14:solidFill>
                    <w14:schemeClr w14:val="tx1"/>
                  </w14:solidFill>
                </w14:textFill>
              </w:rPr>
            </w:pPr>
          </w:p>
        </w:tc>
        <w:tc>
          <w:tcPr>
            <w:tcW w:w="12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0DDB6B">
            <w:pPr>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监测图表</w:t>
            </w:r>
          </w:p>
        </w:tc>
        <w:tc>
          <w:tcPr>
            <w:tcW w:w="73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8CB8B9">
            <w:pPr>
              <w:pStyle w:val="4"/>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b/>
                <w:bCs/>
                <w:color w:val="000000"/>
              </w:rPr>
              <w:t>▲</w:t>
            </w:r>
            <w:r>
              <w:rPr>
                <w:rFonts w:hint="eastAsia" w:ascii="宋体" w:hAnsi="宋体" w:eastAsia="宋体" w:cs="宋体"/>
                <w:b w:val="0"/>
                <w:bCs w:val="0"/>
                <w:color w:val="000000" w:themeColor="text1"/>
                <w:sz w:val="24"/>
                <w:szCs w:val="24"/>
                <w14:textFill>
                  <w14:solidFill>
                    <w14:schemeClr w14:val="tx1"/>
                  </w14:solidFill>
                </w14:textFill>
              </w:rPr>
              <w:t>系统可提供集采药品使用监测图表，展示各批次集采药品的月度、年度任务完成情况，包括集采任务完成前十名和后十名的药品、科室，集采：非集采药品使用量占比情况，并可查看药品、科室完成进度的全部排名。</w:t>
            </w:r>
          </w:p>
        </w:tc>
      </w:tr>
      <w:bookmarkEnd w:id="2"/>
      <w:tr w14:paraId="43762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7BB88E">
            <w:pPr>
              <w:pStyle w:val="26"/>
              <w:pageBreakBefore w:val="0"/>
              <w:widowControl w:val="0"/>
              <w:numPr>
                <w:ilvl w:val="0"/>
                <w:numId w:val="11"/>
              </w:numPr>
              <w:kinsoku/>
              <w:wordWrap/>
              <w:overflowPunct/>
              <w:topLinePunct w:val="0"/>
              <w:autoSpaceDE/>
              <w:autoSpaceDN/>
              <w:bidi w:val="0"/>
              <w:adjustRightInd/>
              <w:snapToGrid/>
              <w:spacing w:line="240" w:lineRule="auto"/>
              <w:ind w:left="425" w:hanging="425"/>
              <w:textAlignment w:val="auto"/>
              <w:rPr>
                <w:rFonts w:hint="eastAsia" w:ascii="宋体" w:hAnsi="宋体" w:eastAsia="宋体" w:cs="宋体"/>
                <w:b w:val="0"/>
                <w:bCs w:val="0"/>
                <w:color w:val="000000" w:themeColor="text1"/>
                <w:sz w:val="24"/>
                <w:szCs w:val="24"/>
                <w14:textFill>
                  <w14:solidFill>
                    <w14:schemeClr w14:val="tx1"/>
                  </w14:solidFill>
                </w14:textFill>
              </w:rPr>
            </w:pPr>
          </w:p>
        </w:tc>
        <w:tc>
          <w:tcPr>
            <w:tcW w:w="12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B843FE">
            <w:pPr>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动态提醒</w:t>
            </w:r>
          </w:p>
        </w:tc>
        <w:tc>
          <w:tcPr>
            <w:tcW w:w="73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EB39C2">
            <w:pPr>
              <w:pStyle w:val="4"/>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系统能根据院内集采药品的使用情况，向用户推送异常情况信息，如某科室任务完成度过低等。</w:t>
            </w:r>
          </w:p>
        </w:tc>
      </w:tr>
      <w:tr w14:paraId="05C62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208940">
            <w:pPr>
              <w:pStyle w:val="26"/>
              <w:pageBreakBefore w:val="0"/>
              <w:widowControl w:val="0"/>
              <w:numPr>
                <w:ilvl w:val="0"/>
                <w:numId w:val="11"/>
              </w:numPr>
              <w:kinsoku/>
              <w:wordWrap/>
              <w:overflowPunct/>
              <w:topLinePunct w:val="0"/>
              <w:autoSpaceDE/>
              <w:autoSpaceDN/>
              <w:bidi w:val="0"/>
              <w:adjustRightInd/>
              <w:snapToGrid/>
              <w:spacing w:line="240" w:lineRule="auto"/>
              <w:ind w:left="425" w:hanging="425"/>
              <w:textAlignment w:val="auto"/>
              <w:rPr>
                <w:rFonts w:hint="eastAsia" w:ascii="宋体" w:hAnsi="宋体" w:eastAsia="宋体" w:cs="宋体"/>
                <w:b w:val="0"/>
                <w:bCs w:val="0"/>
                <w:color w:val="000000" w:themeColor="text1"/>
                <w:sz w:val="24"/>
                <w:szCs w:val="24"/>
                <w14:textFill>
                  <w14:solidFill>
                    <w14:schemeClr w14:val="tx1"/>
                  </w14:solidFill>
                </w14:textFill>
              </w:rPr>
            </w:pPr>
            <w:bookmarkStart w:id="3" w:name="_Hlk109920935"/>
          </w:p>
        </w:tc>
        <w:tc>
          <w:tcPr>
            <w:tcW w:w="12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051541">
            <w:pPr>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任务分配</w:t>
            </w:r>
          </w:p>
        </w:tc>
        <w:tc>
          <w:tcPr>
            <w:tcW w:w="73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7815B7">
            <w:pPr>
              <w:pStyle w:val="4"/>
              <w:pageBreakBefore w:val="0"/>
              <w:widowControl w:val="0"/>
              <w:numPr>
                <w:ilvl w:val="0"/>
                <w:numId w:val="12"/>
              </w:numPr>
              <w:kinsoku/>
              <w:wordWrap/>
              <w:overflowPunct/>
              <w:topLinePunct w:val="0"/>
              <w:autoSpaceDE/>
              <w:autoSpaceDN/>
              <w:bidi w:val="0"/>
              <w:adjustRightInd/>
              <w:snapToGrid/>
              <w:spacing w:line="240" w:lineRule="auto"/>
              <w:ind w:left="357" w:hanging="357"/>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根据集采药品在院内的历史使用情况，自动测算全院、大科室、科室、病区、医疗组、医生的月任务量。支持用户通过Excel批量导入任务量。</w:t>
            </w:r>
          </w:p>
          <w:p w14:paraId="16455539">
            <w:pPr>
              <w:pStyle w:val="4"/>
              <w:pageBreakBefore w:val="0"/>
              <w:widowControl w:val="0"/>
              <w:numPr>
                <w:ilvl w:val="0"/>
                <w:numId w:val="12"/>
              </w:numPr>
              <w:kinsoku/>
              <w:wordWrap/>
              <w:overflowPunct/>
              <w:topLinePunct w:val="0"/>
              <w:autoSpaceDE/>
              <w:autoSpaceDN/>
              <w:bidi w:val="0"/>
              <w:adjustRightInd/>
              <w:snapToGrid/>
              <w:spacing w:line="240" w:lineRule="auto"/>
              <w:ind w:left="357" w:hanging="357"/>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支持设置任务测算所参考的历史数据时间范围以及参考药品类型。</w:t>
            </w:r>
          </w:p>
          <w:p w14:paraId="5482B329">
            <w:pPr>
              <w:pStyle w:val="26"/>
              <w:pageBreakBefore w:val="0"/>
              <w:widowControl w:val="0"/>
              <w:numPr>
                <w:ilvl w:val="0"/>
                <w:numId w:val="12"/>
              </w:numPr>
              <w:kinsoku/>
              <w:wordWrap/>
              <w:overflowPunct/>
              <w:topLinePunct w:val="0"/>
              <w:autoSpaceDE/>
              <w:autoSpaceDN/>
              <w:bidi w:val="0"/>
              <w:adjustRightInd/>
              <w:snapToGrid/>
              <w:spacing w:line="240" w:lineRule="auto"/>
              <w:ind w:left="357" w:hanging="357"/>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支持测算结果自动取整应用。</w:t>
            </w:r>
          </w:p>
          <w:p w14:paraId="6928D149">
            <w:pPr>
              <w:pStyle w:val="26"/>
              <w:pageBreakBefore w:val="0"/>
              <w:widowControl w:val="0"/>
              <w:numPr>
                <w:ilvl w:val="0"/>
                <w:numId w:val="12"/>
              </w:numPr>
              <w:kinsoku/>
              <w:wordWrap/>
              <w:overflowPunct/>
              <w:topLinePunct w:val="0"/>
              <w:autoSpaceDE/>
              <w:autoSpaceDN/>
              <w:bidi w:val="0"/>
              <w:adjustRightInd/>
              <w:snapToGrid/>
              <w:spacing w:line="240" w:lineRule="auto"/>
              <w:ind w:left="357" w:hanging="357"/>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支持查看历史任务量，系统能自动记录任务变化前后数值。</w:t>
            </w:r>
          </w:p>
          <w:p w14:paraId="788DFFEC">
            <w:pPr>
              <w:pStyle w:val="26"/>
              <w:pageBreakBefore w:val="0"/>
              <w:widowControl w:val="0"/>
              <w:numPr>
                <w:ilvl w:val="0"/>
                <w:numId w:val="12"/>
              </w:numPr>
              <w:kinsoku/>
              <w:wordWrap/>
              <w:overflowPunct/>
              <w:topLinePunct w:val="0"/>
              <w:autoSpaceDE/>
              <w:autoSpaceDN/>
              <w:bidi w:val="0"/>
              <w:adjustRightInd/>
              <w:snapToGrid/>
              <w:spacing w:line="240" w:lineRule="auto"/>
              <w:ind w:left="357" w:hanging="357"/>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任务分配结束后，应</w:t>
            </w:r>
            <w:r>
              <w:rPr>
                <w:rFonts w:hint="eastAsia" w:ascii="宋体" w:hAnsi="宋体" w:eastAsia="宋体" w:cs="宋体"/>
                <w:b w:val="0"/>
                <w:bCs w:val="0"/>
                <w:color w:val="000000" w:themeColor="text1"/>
                <w:sz w:val="24"/>
                <w:szCs w:val="24"/>
                <w:lang w:val="en-US" w:eastAsia="zh-CN"/>
                <w14:textFill>
                  <w14:solidFill>
                    <w14:schemeClr w14:val="tx1"/>
                  </w14:solidFill>
                </w14:textFill>
              </w:rPr>
              <w:t>支持</w:t>
            </w:r>
            <w:r>
              <w:rPr>
                <w:rFonts w:hint="eastAsia" w:ascii="宋体" w:hAnsi="宋体" w:eastAsia="宋体" w:cs="宋体"/>
                <w:b w:val="0"/>
                <w:bCs w:val="0"/>
                <w:color w:val="000000" w:themeColor="text1"/>
                <w:sz w:val="24"/>
                <w:szCs w:val="24"/>
                <w14:textFill>
                  <w14:solidFill>
                    <w14:schemeClr w14:val="tx1"/>
                  </w14:solidFill>
                </w14:textFill>
              </w:rPr>
              <w:t>及时通知到对应科室。</w:t>
            </w:r>
          </w:p>
        </w:tc>
      </w:tr>
      <w:tr w14:paraId="3CD62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7ED9268">
            <w:pPr>
              <w:pStyle w:val="26"/>
              <w:pageBreakBefore w:val="0"/>
              <w:widowControl w:val="0"/>
              <w:numPr>
                <w:ilvl w:val="0"/>
                <w:numId w:val="11"/>
              </w:numPr>
              <w:kinsoku/>
              <w:wordWrap/>
              <w:overflowPunct/>
              <w:topLinePunct w:val="0"/>
              <w:autoSpaceDE/>
              <w:autoSpaceDN/>
              <w:bidi w:val="0"/>
              <w:adjustRightInd/>
              <w:snapToGrid/>
              <w:spacing w:line="240" w:lineRule="auto"/>
              <w:ind w:left="425" w:hanging="425"/>
              <w:textAlignment w:val="auto"/>
              <w:rPr>
                <w:rFonts w:hint="eastAsia" w:ascii="宋体" w:hAnsi="宋体" w:eastAsia="宋体" w:cs="宋体"/>
                <w:b w:val="0"/>
                <w:bCs w:val="0"/>
                <w:color w:val="000000" w:themeColor="text1"/>
                <w:sz w:val="24"/>
                <w:szCs w:val="24"/>
                <w14:textFill>
                  <w14:solidFill>
                    <w14:schemeClr w14:val="tx1"/>
                  </w14:solidFill>
                </w14:textFill>
              </w:rPr>
            </w:pPr>
          </w:p>
        </w:tc>
        <w:tc>
          <w:tcPr>
            <w:tcW w:w="124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2ACDC29">
            <w:pPr>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规则管理</w:t>
            </w:r>
          </w:p>
        </w:tc>
        <w:tc>
          <w:tcPr>
            <w:tcW w:w="73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7AADFA">
            <w:pPr>
              <w:pStyle w:val="4"/>
              <w:pageBreakBefore w:val="0"/>
              <w:widowControl w:val="0"/>
              <w:numPr>
                <w:ilvl w:val="0"/>
                <w:numId w:val="13"/>
              </w:numPr>
              <w:kinsoku/>
              <w:wordWrap/>
              <w:overflowPunct/>
              <w:topLinePunct w:val="0"/>
              <w:autoSpaceDE/>
              <w:autoSpaceDN/>
              <w:bidi w:val="0"/>
              <w:adjustRightInd/>
              <w:snapToGrid/>
              <w:spacing w:line="240" w:lineRule="auto"/>
              <w:ind w:left="250" w:hanging="25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支持分级管控，能根据任务完成进度设置管控效果，如拦截医生处方不能开出、向医生弹框警示、不作提示等。</w:t>
            </w:r>
          </w:p>
          <w:p w14:paraId="2160AEF4">
            <w:pPr>
              <w:pStyle w:val="26"/>
              <w:pageBreakBefore w:val="0"/>
              <w:widowControl w:val="0"/>
              <w:numPr>
                <w:ilvl w:val="0"/>
                <w:numId w:val="13"/>
              </w:numPr>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完成进度支持按月或按阶段进行计算。</w:t>
            </w:r>
          </w:p>
        </w:tc>
      </w:tr>
      <w:tr w14:paraId="7111F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9036C93">
            <w:pPr>
              <w:pStyle w:val="26"/>
              <w:pageBreakBefore w:val="0"/>
              <w:widowControl w:val="0"/>
              <w:numPr>
                <w:ilvl w:val="0"/>
                <w:numId w:val="14"/>
              </w:numPr>
              <w:kinsoku/>
              <w:wordWrap/>
              <w:overflowPunct/>
              <w:topLinePunct w:val="0"/>
              <w:autoSpaceDE/>
              <w:autoSpaceDN/>
              <w:bidi w:val="0"/>
              <w:adjustRightInd/>
              <w:snapToGrid/>
              <w:spacing w:line="240" w:lineRule="auto"/>
              <w:ind w:left="0" w:firstLine="0"/>
              <w:textAlignment w:val="auto"/>
              <w:rPr>
                <w:rFonts w:hint="eastAsia" w:ascii="宋体" w:hAnsi="宋体" w:eastAsia="宋体" w:cs="宋体"/>
                <w:b w:val="0"/>
                <w:bCs w:val="0"/>
                <w:color w:val="000000" w:themeColor="text1"/>
                <w:sz w:val="24"/>
                <w:szCs w:val="24"/>
                <w14:textFill>
                  <w14:solidFill>
                    <w14:schemeClr w14:val="tx1"/>
                  </w14:solidFill>
                </w14:textFill>
              </w:rPr>
            </w:pPr>
          </w:p>
        </w:tc>
        <w:tc>
          <w:tcPr>
            <w:tcW w:w="124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ABA216F">
            <w:pPr>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000000" w:themeColor="text1"/>
                <w:sz w:val="24"/>
                <w:szCs w:val="24"/>
                <w14:textFill>
                  <w14:solidFill>
                    <w14:schemeClr w14:val="tx1"/>
                  </w14:solidFill>
                </w14:textFill>
              </w:rPr>
            </w:pPr>
          </w:p>
        </w:tc>
        <w:tc>
          <w:tcPr>
            <w:tcW w:w="73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0AA608">
            <w:pPr>
              <w:pStyle w:val="4"/>
              <w:pageBreakBefore w:val="0"/>
              <w:widowControl w:val="0"/>
              <w:numPr>
                <w:ilvl w:val="0"/>
                <w:numId w:val="15"/>
              </w:numPr>
              <w:kinsoku/>
              <w:wordWrap/>
              <w:overflowPunct/>
              <w:topLinePunct w:val="0"/>
              <w:autoSpaceDE/>
              <w:autoSpaceDN/>
              <w:bidi w:val="0"/>
              <w:adjustRightInd/>
              <w:snapToGrid/>
              <w:spacing w:line="240" w:lineRule="auto"/>
              <w:ind w:left="420" w:hanging="42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支持从使用量和使用金额维度对同一药品品种的中选/非中选药品使用比例进行审查。</w:t>
            </w:r>
          </w:p>
          <w:p w14:paraId="3C52E53E">
            <w:pPr>
              <w:pStyle w:val="26"/>
              <w:pageBreakBefore w:val="0"/>
              <w:widowControl w:val="0"/>
              <w:numPr>
                <w:ilvl w:val="0"/>
                <w:numId w:val="15"/>
              </w:numPr>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比例算法支持用户设置，包括中选：非中选，中选：非中选+同类可替代等。</w:t>
            </w:r>
          </w:p>
        </w:tc>
      </w:tr>
      <w:tr w14:paraId="50BB3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123F771">
            <w:pPr>
              <w:pStyle w:val="26"/>
              <w:pageBreakBefore w:val="0"/>
              <w:widowControl w:val="0"/>
              <w:numPr>
                <w:ilvl w:val="0"/>
                <w:numId w:val="14"/>
              </w:numPr>
              <w:kinsoku/>
              <w:wordWrap/>
              <w:overflowPunct/>
              <w:topLinePunct w:val="0"/>
              <w:autoSpaceDE/>
              <w:autoSpaceDN/>
              <w:bidi w:val="0"/>
              <w:adjustRightInd/>
              <w:snapToGrid/>
              <w:spacing w:line="240" w:lineRule="auto"/>
              <w:ind w:left="0" w:firstLine="0"/>
              <w:textAlignment w:val="auto"/>
              <w:rPr>
                <w:rFonts w:hint="eastAsia" w:ascii="宋体" w:hAnsi="宋体" w:eastAsia="宋体" w:cs="宋体"/>
                <w:b w:val="0"/>
                <w:bCs w:val="0"/>
                <w:color w:val="000000" w:themeColor="text1"/>
                <w:sz w:val="24"/>
                <w:szCs w:val="24"/>
                <w14:textFill>
                  <w14:solidFill>
                    <w14:schemeClr w14:val="tx1"/>
                  </w14:solidFill>
                </w14:textFill>
              </w:rPr>
            </w:pPr>
          </w:p>
        </w:tc>
        <w:tc>
          <w:tcPr>
            <w:tcW w:w="124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257CBE5">
            <w:pPr>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000000" w:themeColor="text1"/>
                <w:sz w:val="24"/>
                <w:szCs w:val="24"/>
                <w14:textFill>
                  <w14:solidFill>
                    <w14:schemeClr w14:val="tx1"/>
                  </w14:solidFill>
                </w14:textFill>
              </w:rPr>
            </w:pPr>
          </w:p>
        </w:tc>
        <w:tc>
          <w:tcPr>
            <w:tcW w:w="73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C499EC">
            <w:pPr>
              <w:pStyle w:val="4"/>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结合历史未完成的集采任务量对医生用药进行管控。</w:t>
            </w:r>
          </w:p>
        </w:tc>
      </w:tr>
      <w:tr w14:paraId="79A01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64E709E">
            <w:pPr>
              <w:pStyle w:val="26"/>
              <w:pageBreakBefore w:val="0"/>
              <w:widowControl w:val="0"/>
              <w:numPr>
                <w:ilvl w:val="0"/>
                <w:numId w:val="14"/>
              </w:numPr>
              <w:kinsoku/>
              <w:wordWrap/>
              <w:overflowPunct/>
              <w:topLinePunct w:val="0"/>
              <w:autoSpaceDE/>
              <w:autoSpaceDN/>
              <w:bidi w:val="0"/>
              <w:adjustRightInd/>
              <w:snapToGrid/>
              <w:spacing w:line="240" w:lineRule="auto"/>
              <w:ind w:left="0" w:firstLine="0"/>
              <w:textAlignment w:val="auto"/>
              <w:rPr>
                <w:rFonts w:hint="eastAsia" w:ascii="宋体" w:hAnsi="宋体" w:eastAsia="宋体" w:cs="宋体"/>
                <w:b w:val="0"/>
                <w:bCs w:val="0"/>
                <w:color w:val="000000" w:themeColor="text1"/>
                <w:sz w:val="24"/>
                <w:szCs w:val="24"/>
                <w14:textFill>
                  <w14:solidFill>
                    <w14:schemeClr w14:val="tx1"/>
                  </w14:solidFill>
                </w14:textFill>
              </w:rPr>
            </w:pPr>
          </w:p>
        </w:tc>
        <w:tc>
          <w:tcPr>
            <w:tcW w:w="124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C873041">
            <w:pPr>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000000" w:themeColor="text1"/>
                <w:sz w:val="24"/>
                <w:szCs w:val="24"/>
                <w14:textFill>
                  <w14:solidFill>
                    <w14:schemeClr w14:val="tx1"/>
                  </w14:solidFill>
                </w14:textFill>
              </w:rPr>
            </w:pPr>
          </w:p>
        </w:tc>
        <w:tc>
          <w:tcPr>
            <w:tcW w:w="73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8A0F86">
            <w:pPr>
              <w:pStyle w:val="4"/>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设置各科室非专科用药必须开具集采品种。</w:t>
            </w:r>
          </w:p>
        </w:tc>
      </w:tr>
      <w:tr w14:paraId="60603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21190ED">
            <w:pPr>
              <w:pStyle w:val="26"/>
              <w:pageBreakBefore w:val="0"/>
              <w:widowControl w:val="0"/>
              <w:numPr>
                <w:ilvl w:val="0"/>
                <w:numId w:val="14"/>
              </w:numPr>
              <w:kinsoku/>
              <w:wordWrap/>
              <w:overflowPunct/>
              <w:topLinePunct w:val="0"/>
              <w:autoSpaceDE/>
              <w:autoSpaceDN/>
              <w:bidi w:val="0"/>
              <w:adjustRightInd/>
              <w:snapToGrid/>
              <w:spacing w:line="240" w:lineRule="auto"/>
              <w:ind w:left="0" w:firstLine="0"/>
              <w:textAlignment w:val="auto"/>
              <w:rPr>
                <w:rFonts w:hint="eastAsia" w:ascii="宋体" w:hAnsi="宋体" w:eastAsia="宋体" w:cs="宋体"/>
                <w:b w:val="0"/>
                <w:bCs w:val="0"/>
                <w:color w:val="000000" w:themeColor="text1"/>
                <w:sz w:val="24"/>
                <w:szCs w:val="24"/>
                <w14:textFill>
                  <w14:solidFill>
                    <w14:schemeClr w14:val="tx1"/>
                  </w14:solidFill>
                </w14:textFill>
              </w:rPr>
            </w:pPr>
          </w:p>
        </w:tc>
        <w:tc>
          <w:tcPr>
            <w:tcW w:w="124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F04251F">
            <w:pPr>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000000" w:themeColor="text1"/>
                <w:sz w:val="24"/>
                <w:szCs w:val="24"/>
                <w14:textFill>
                  <w14:solidFill>
                    <w14:schemeClr w14:val="tx1"/>
                  </w14:solidFill>
                </w14:textFill>
              </w:rPr>
            </w:pPr>
          </w:p>
        </w:tc>
        <w:tc>
          <w:tcPr>
            <w:tcW w:w="73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2734A5">
            <w:pPr>
              <w:pStyle w:val="4"/>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根据医生、科室、患者、疾病等条件设置管控白名单，列入白名单的对象不受集采相关规则限制。</w:t>
            </w:r>
          </w:p>
        </w:tc>
      </w:tr>
      <w:tr w14:paraId="6E52F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513D47">
            <w:pPr>
              <w:pStyle w:val="26"/>
              <w:pageBreakBefore w:val="0"/>
              <w:widowControl w:val="0"/>
              <w:numPr>
                <w:ilvl w:val="0"/>
                <w:numId w:val="11"/>
              </w:numPr>
              <w:kinsoku/>
              <w:wordWrap/>
              <w:overflowPunct/>
              <w:topLinePunct w:val="0"/>
              <w:autoSpaceDE/>
              <w:autoSpaceDN/>
              <w:bidi w:val="0"/>
              <w:adjustRightInd/>
              <w:snapToGrid/>
              <w:spacing w:line="240" w:lineRule="auto"/>
              <w:ind w:left="425" w:hanging="425"/>
              <w:textAlignment w:val="auto"/>
              <w:rPr>
                <w:rFonts w:hint="eastAsia" w:ascii="宋体" w:hAnsi="宋体" w:eastAsia="宋体" w:cs="宋体"/>
                <w:b w:val="0"/>
                <w:bCs w:val="0"/>
                <w:color w:val="000000" w:themeColor="text1"/>
                <w:sz w:val="24"/>
                <w:szCs w:val="24"/>
                <w14:textFill>
                  <w14:solidFill>
                    <w14:schemeClr w14:val="tx1"/>
                  </w14:solidFill>
                </w14:textFill>
              </w:rPr>
            </w:pPr>
          </w:p>
        </w:tc>
        <w:tc>
          <w:tcPr>
            <w:tcW w:w="12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04A3EA">
            <w:pPr>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智能推送</w:t>
            </w:r>
          </w:p>
        </w:tc>
        <w:tc>
          <w:tcPr>
            <w:tcW w:w="73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4DC75A">
            <w:pPr>
              <w:pStyle w:val="4"/>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提供即时通讯工具，可对月任务量未达成的情况、中选/非中选药品使用比例过低的情况进行推送。推送时间用户可设置。</w:t>
            </w:r>
          </w:p>
        </w:tc>
      </w:tr>
      <w:tr w14:paraId="06FB2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DD7CC8">
            <w:pPr>
              <w:pStyle w:val="26"/>
              <w:pageBreakBefore w:val="0"/>
              <w:widowControl w:val="0"/>
              <w:numPr>
                <w:ilvl w:val="0"/>
                <w:numId w:val="11"/>
              </w:numPr>
              <w:kinsoku/>
              <w:wordWrap/>
              <w:overflowPunct/>
              <w:topLinePunct w:val="0"/>
              <w:autoSpaceDE/>
              <w:autoSpaceDN/>
              <w:bidi w:val="0"/>
              <w:adjustRightInd/>
              <w:snapToGrid/>
              <w:spacing w:line="240" w:lineRule="auto"/>
              <w:ind w:left="425" w:hanging="425"/>
              <w:textAlignment w:val="auto"/>
              <w:rPr>
                <w:rFonts w:hint="eastAsia" w:ascii="宋体" w:hAnsi="宋体" w:eastAsia="宋体" w:cs="宋体"/>
                <w:b w:val="0"/>
                <w:bCs w:val="0"/>
                <w:color w:val="000000" w:themeColor="text1"/>
                <w:sz w:val="24"/>
                <w:szCs w:val="24"/>
                <w14:textFill>
                  <w14:solidFill>
                    <w14:schemeClr w14:val="tx1"/>
                  </w14:solidFill>
                </w14:textFill>
              </w:rPr>
            </w:pPr>
          </w:p>
        </w:tc>
        <w:tc>
          <w:tcPr>
            <w:tcW w:w="12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044EB5">
            <w:pPr>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统计分析</w:t>
            </w:r>
          </w:p>
        </w:tc>
        <w:tc>
          <w:tcPr>
            <w:tcW w:w="73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243D33">
            <w:pPr>
              <w:pStyle w:val="4"/>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b/>
                <w:bCs/>
                <w:color w:val="000000"/>
              </w:rPr>
              <w:t>▲</w:t>
            </w:r>
            <w:r>
              <w:rPr>
                <w:rFonts w:hint="eastAsia" w:ascii="宋体" w:hAnsi="宋体" w:eastAsia="宋体" w:cs="宋体"/>
                <w:b w:val="0"/>
                <w:bCs w:val="0"/>
                <w:color w:val="000000" w:themeColor="text1"/>
                <w:sz w:val="24"/>
                <w:szCs w:val="24"/>
                <w14:textFill>
                  <w14:solidFill>
                    <w14:schemeClr w14:val="tx1"/>
                  </w14:solidFill>
                </w14:textFill>
              </w:rPr>
              <w:t>对集采用量规则审查出的用药问题进行统计，可提供集采药品使用监测、采购监测、集采药品使用情况记录等报表，可统计集中采购药品相关评价指标，并可导出为EXCEL。</w:t>
            </w:r>
          </w:p>
        </w:tc>
      </w:tr>
      <w:tr w14:paraId="09DC6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360482">
            <w:pPr>
              <w:pStyle w:val="26"/>
              <w:pageBreakBefore w:val="0"/>
              <w:widowControl w:val="0"/>
              <w:numPr>
                <w:ilvl w:val="0"/>
                <w:numId w:val="11"/>
              </w:numPr>
              <w:kinsoku/>
              <w:wordWrap/>
              <w:overflowPunct/>
              <w:topLinePunct w:val="0"/>
              <w:autoSpaceDE/>
              <w:autoSpaceDN/>
              <w:bidi w:val="0"/>
              <w:adjustRightInd/>
              <w:snapToGrid/>
              <w:spacing w:line="240" w:lineRule="auto"/>
              <w:ind w:left="425" w:hanging="425"/>
              <w:textAlignment w:val="auto"/>
              <w:rPr>
                <w:rFonts w:hint="eastAsia" w:ascii="宋体" w:hAnsi="宋体" w:eastAsia="宋体" w:cs="宋体"/>
                <w:b w:val="0"/>
                <w:bCs w:val="0"/>
                <w:color w:val="000000" w:themeColor="text1"/>
                <w:sz w:val="24"/>
                <w:szCs w:val="24"/>
                <w14:textFill>
                  <w14:solidFill>
                    <w14:schemeClr w14:val="tx1"/>
                  </w14:solidFill>
                </w14:textFill>
              </w:rPr>
            </w:pPr>
          </w:p>
        </w:tc>
        <w:tc>
          <w:tcPr>
            <w:tcW w:w="12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2D179A">
            <w:pPr>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报量测算</w:t>
            </w:r>
          </w:p>
        </w:tc>
        <w:tc>
          <w:tcPr>
            <w:tcW w:w="73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79DBB8">
            <w:pPr>
              <w:pStyle w:val="4"/>
              <w:pageBreakBefore w:val="0"/>
              <w:widowControl w:val="0"/>
              <w:numPr>
                <w:ilvl w:val="0"/>
                <w:numId w:val="16"/>
              </w:numPr>
              <w:kinsoku/>
              <w:wordWrap/>
              <w:overflowPunct/>
              <w:topLinePunct w:val="0"/>
              <w:autoSpaceDE/>
              <w:autoSpaceDN/>
              <w:bidi w:val="0"/>
              <w:adjustRightInd/>
              <w:snapToGrid/>
              <w:spacing w:line="240" w:lineRule="auto"/>
              <w:ind w:left="0" w:firstLine="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根据院内集采药品历史使用情况，进行报量测算。</w:t>
            </w:r>
          </w:p>
          <w:p w14:paraId="524FC032">
            <w:pPr>
              <w:pStyle w:val="4"/>
              <w:pageBreakBefore w:val="0"/>
              <w:widowControl w:val="0"/>
              <w:numPr>
                <w:ilvl w:val="0"/>
                <w:numId w:val="16"/>
              </w:numPr>
              <w:kinsoku/>
              <w:wordWrap/>
              <w:overflowPunct/>
              <w:topLinePunct w:val="0"/>
              <w:autoSpaceDE/>
              <w:autoSpaceDN/>
              <w:bidi w:val="0"/>
              <w:adjustRightInd/>
              <w:snapToGrid/>
              <w:spacing w:line="240" w:lineRule="auto"/>
              <w:ind w:left="0" w:firstLine="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向各科室收集集采报量意见，作为最终报量的参考。</w:t>
            </w:r>
          </w:p>
        </w:tc>
      </w:tr>
      <w:bookmarkEnd w:id="3"/>
    </w:tbl>
    <w:p w14:paraId="5C247F04">
      <w:pPr>
        <w:pStyle w:val="26"/>
        <w:keepNext/>
        <w:keepLines/>
        <w:pageBreakBefore w:val="0"/>
        <w:widowControl w:val="0"/>
        <w:numPr>
          <w:ilvl w:val="0"/>
          <w:numId w:val="5"/>
        </w:numPr>
        <w:kinsoku/>
        <w:wordWrap/>
        <w:overflowPunct/>
        <w:topLinePunct w:val="0"/>
        <w:autoSpaceDE/>
        <w:autoSpaceDN/>
        <w:bidi w:val="0"/>
        <w:adjustRightInd/>
        <w:snapToGrid/>
        <w:spacing w:before="327" w:beforeLines="100" w:line="560" w:lineRule="exact"/>
        <w:textAlignment w:val="auto"/>
        <w:outlineLvl w:val="1"/>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商务</w:t>
      </w:r>
      <w:r>
        <w:rPr>
          <w:rFonts w:hint="eastAsia" w:ascii="宋体" w:hAnsi="宋体" w:eastAsia="宋体" w:cs="宋体"/>
          <w:b/>
          <w:bCs/>
          <w:color w:val="000000" w:themeColor="text1"/>
          <w:sz w:val="24"/>
          <w:szCs w:val="24"/>
          <w14:textFill>
            <w14:solidFill>
              <w14:schemeClr w14:val="tx1"/>
            </w14:solidFill>
          </w14:textFill>
        </w:rPr>
        <w:t>要求</w:t>
      </w:r>
    </w:p>
    <w:tbl>
      <w:tblPr>
        <w:tblStyle w:val="36"/>
        <w:tblW w:w="9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1436"/>
        <w:gridCol w:w="7370"/>
      </w:tblGrid>
      <w:tr w14:paraId="06283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DA121A">
            <w:pPr>
              <w:pStyle w:val="26"/>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Chars="0"/>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序号</w:t>
            </w:r>
          </w:p>
        </w:tc>
        <w:tc>
          <w:tcPr>
            <w:tcW w:w="14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9CFF02">
            <w:pPr>
              <w:keepNext w:val="0"/>
              <w:keepLines w:val="0"/>
              <w:pageBreakBefore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子项</w:t>
            </w:r>
          </w:p>
        </w:tc>
        <w:tc>
          <w:tcPr>
            <w:tcW w:w="7370" w:type="dxa"/>
            <w:tcBorders>
              <w:top w:val="single" w:color="000000" w:sz="4" w:space="0"/>
              <w:left w:val="single" w:color="000000" w:sz="4" w:space="0"/>
              <w:bottom w:val="single" w:color="000000" w:sz="4" w:space="0"/>
              <w:right w:val="single" w:color="000000" w:sz="4" w:space="0"/>
            </w:tcBorders>
            <w:shd w:val="clear" w:color="auto" w:fill="FFFFFF"/>
          </w:tcPr>
          <w:p w14:paraId="075D578D">
            <w:pPr>
              <w:pStyle w:val="26"/>
              <w:keepNext w:val="0"/>
              <w:keepLines w:val="0"/>
              <w:pageBreakBefore w:val="0"/>
              <w:numPr>
                <w:ilvl w:val="0"/>
                <w:numId w:val="0"/>
              </w:numPr>
              <w:kinsoku/>
              <w:wordWrap/>
              <w:overflowPunct/>
              <w:topLinePunct w:val="0"/>
              <w:autoSpaceDE/>
              <w:autoSpaceDN/>
              <w:bidi w:val="0"/>
              <w:adjustRightInd w:val="0"/>
              <w:snapToGrid w:val="0"/>
              <w:spacing w:line="240" w:lineRule="auto"/>
              <w:ind w:leftChars="0"/>
              <w:jc w:val="center"/>
              <w:textAlignment w:val="auto"/>
              <w:rPr>
                <w:rFonts w:hint="default"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具体要求</w:t>
            </w:r>
          </w:p>
        </w:tc>
      </w:tr>
      <w:tr w14:paraId="4737B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739367">
            <w:pPr>
              <w:pStyle w:val="26"/>
              <w:keepNext w:val="0"/>
              <w:keepLines w:val="0"/>
              <w:pageBreakBefore w:val="0"/>
              <w:widowControl/>
              <w:numPr>
                <w:ilvl w:val="0"/>
                <w:numId w:val="17"/>
              </w:numPr>
              <w:kinsoku/>
              <w:wordWrap/>
              <w:overflowPunct/>
              <w:topLinePunct w:val="0"/>
              <w:autoSpaceDE/>
              <w:autoSpaceDN/>
              <w:bidi w:val="0"/>
              <w:adjustRightInd w:val="0"/>
              <w:snapToGrid w:val="0"/>
              <w:spacing w:line="240" w:lineRule="auto"/>
              <w:ind w:left="425" w:hanging="425"/>
              <w:textAlignment w:val="auto"/>
              <w:rPr>
                <w:rFonts w:hint="eastAsia" w:ascii="宋体" w:hAnsi="宋体" w:eastAsia="宋体" w:cs="宋体"/>
                <w:b w:val="0"/>
                <w:bCs w:val="0"/>
                <w:color w:val="000000" w:themeColor="text1"/>
                <w:sz w:val="24"/>
                <w:szCs w:val="24"/>
                <w14:textFill>
                  <w14:solidFill>
                    <w14:schemeClr w14:val="tx1"/>
                  </w14:solidFill>
                </w14:textFill>
              </w:rPr>
            </w:pPr>
          </w:p>
        </w:tc>
        <w:tc>
          <w:tcPr>
            <w:tcW w:w="14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EAA431">
            <w:pPr>
              <w:keepNext w:val="0"/>
              <w:keepLines w:val="0"/>
              <w:pageBreakBefore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售后服务要求</w:t>
            </w:r>
          </w:p>
        </w:tc>
        <w:tc>
          <w:tcPr>
            <w:tcW w:w="7370" w:type="dxa"/>
            <w:tcBorders>
              <w:top w:val="single" w:color="000000" w:sz="4" w:space="0"/>
              <w:left w:val="single" w:color="000000" w:sz="4" w:space="0"/>
              <w:bottom w:val="single" w:color="000000" w:sz="4" w:space="0"/>
              <w:right w:val="single" w:color="000000" w:sz="4" w:space="0"/>
            </w:tcBorders>
            <w:shd w:val="clear" w:color="auto" w:fill="FFFFFF"/>
          </w:tcPr>
          <w:p w14:paraId="2BFC0654">
            <w:pPr>
              <w:pStyle w:val="26"/>
              <w:keepNext w:val="0"/>
              <w:keepLines w:val="0"/>
              <w:pageBreakBefore w:val="0"/>
              <w:numPr>
                <w:ilvl w:val="0"/>
                <w:numId w:val="18"/>
              </w:numPr>
              <w:kinsoku/>
              <w:wordWrap/>
              <w:overflowPunct/>
              <w:topLinePunct w:val="0"/>
              <w:autoSpaceDE/>
              <w:autoSpaceDN/>
              <w:bidi w:val="0"/>
              <w:adjustRightInd w:val="0"/>
              <w:snapToGrid w:val="0"/>
              <w:spacing w:line="240" w:lineRule="auto"/>
              <w:ind w:left="420" w:hanging="42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有专业的售后服务工程师，能为医院提供及时的售后服务，解决医院在系统使用中遇到的问题。</w:t>
            </w:r>
          </w:p>
          <w:p w14:paraId="242BA594">
            <w:pPr>
              <w:pStyle w:val="26"/>
              <w:keepNext w:val="0"/>
              <w:keepLines w:val="0"/>
              <w:pageBreakBefore w:val="0"/>
              <w:numPr>
                <w:ilvl w:val="0"/>
                <w:numId w:val="18"/>
              </w:numPr>
              <w:kinsoku/>
              <w:wordWrap/>
              <w:overflowPunct/>
              <w:topLinePunct w:val="0"/>
              <w:autoSpaceDE/>
              <w:autoSpaceDN/>
              <w:bidi w:val="0"/>
              <w:adjustRightInd w:val="0"/>
              <w:snapToGrid w:val="0"/>
              <w:spacing w:line="240" w:lineRule="auto"/>
              <w:ind w:left="420" w:hanging="42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培训：在系统安装实施完成并正式交付医院使用之前，负责培训医院相关的操作使用人员，保证系统的使用效果。</w:t>
            </w:r>
          </w:p>
          <w:p w14:paraId="622ECAE1">
            <w:pPr>
              <w:pStyle w:val="26"/>
              <w:keepNext w:val="0"/>
              <w:keepLines w:val="0"/>
              <w:pageBreakBefore w:val="0"/>
              <w:numPr>
                <w:ilvl w:val="0"/>
                <w:numId w:val="18"/>
              </w:numPr>
              <w:kinsoku/>
              <w:wordWrap/>
              <w:overflowPunct/>
              <w:topLinePunct w:val="0"/>
              <w:autoSpaceDE/>
              <w:autoSpaceDN/>
              <w:bidi w:val="0"/>
              <w:adjustRightInd w:val="0"/>
              <w:snapToGrid w:val="0"/>
              <w:spacing w:line="240" w:lineRule="auto"/>
              <w:ind w:left="420" w:hanging="42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系统实施完成后，可提供详细的产品说明、操作规程、维护方法等相关技术资料。</w:t>
            </w:r>
          </w:p>
          <w:p w14:paraId="3DE35BC3">
            <w:pPr>
              <w:pStyle w:val="26"/>
              <w:keepNext w:val="0"/>
              <w:keepLines w:val="0"/>
              <w:pageBreakBefore w:val="0"/>
              <w:numPr>
                <w:ilvl w:val="0"/>
                <w:numId w:val="18"/>
              </w:numPr>
              <w:kinsoku/>
              <w:wordWrap/>
              <w:overflowPunct/>
              <w:topLinePunct w:val="0"/>
              <w:autoSpaceDE/>
              <w:autoSpaceDN/>
              <w:bidi w:val="0"/>
              <w:adjustRightInd w:val="0"/>
              <w:snapToGrid w:val="0"/>
              <w:spacing w:line="240" w:lineRule="auto"/>
              <w:ind w:left="420" w:hanging="42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售后服务方式：提供包括但不限于电话提供服务、现场提供服务、远程提供服务方式满足采购人服务需求。</w:t>
            </w:r>
          </w:p>
          <w:p w14:paraId="4A5EFCEF">
            <w:pPr>
              <w:pStyle w:val="26"/>
              <w:keepNext w:val="0"/>
              <w:keepLines w:val="0"/>
              <w:pageBreakBefore w:val="0"/>
              <w:numPr>
                <w:ilvl w:val="0"/>
                <w:numId w:val="18"/>
              </w:numPr>
              <w:kinsoku/>
              <w:wordWrap/>
              <w:overflowPunct/>
              <w:topLinePunct w:val="0"/>
              <w:autoSpaceDE/>
              <w:autoSpaceDN/>
              <w:bidi w:val="0"/>
              <w:adjustRightInd w:val="0"/>
              <w:snapToGrid w:val="0"/>
              <w:spacing w:line="240" w:lineRule="auto"/>
              <w:ind w:left="420" w:hanging="42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售后服务时间：</w:t>
            </w:r>
            <w:r>
              <w:rPr>
                <w:rFonts w:hint="eastAsia" w:ascii="宋体" w:hAnsi="宋体" w:eastAsia="宋体" w:cs="宋体"/>
                <w:color w:val="000000" w:themeColor="text1"/>
                <w:sz w:val="24"/>
                <w:szCs w:val="24"/>
                <w14:textFill>
                  <w14:solidFill>
                    <w14:schemeClr w14:val="tx1"/>
                  </w14:solidFill>
                </w14:textFill>
              </w:rPr>
              <w:br w:type="textWrapping"/>
            </w:r>
            <w:r>
              <w:rPr>
                <w:rFonts w:hint="eastAsia" w:ascii="宋体" w:hAnsi="宋体" w:eastAsia="宋体" w:cs="宋体"/>
                <w:color w:val="000000" w:themeColor="text1"/>
                <w:sz w:val="24"/>
                <w:szCs w:val="24"/>
                <w14:textFill>
                  <w14:solidFill>
                    <w14:schemeClr w14:val="tx1"/>
                  </w14:solidFill>
                </w14:textFill>
              </w:rPr>
              <w:t>（1）电话提供服务：供应商需提供7*24小时电话服务，随时接受客户对系统操作的技术咨询和技术交流，及时解答客户遇到的问题，并定期电话回访客户进行满意度调查。供应商在接到故障报修服务要求时，发生故障到达现场处理故障时间为2小时以内，一般故障处理时限不超过3小时修复，重大故障处理时限不超过2小时修复。</w:t>
            </w:r>
            <w:r>
              <w:rPr>
                <w:rFonts w:hint="eastAsia" w:ascii="宋体" w:hAnsi="宋体" w:eastAsia="宋体" w:cs="宋体"/>
                <w:color w:val="000000" w:themeColor="text1"/>
                <w:sz w:val="24"/>
                <w:szCs w:val="24"/>
                <w14:textFill>
                  <w14:solidFill>
                    <w14:schemeClr w14:val="tx1"/>
                  </w14:solidFill>
                </w14:textFill>
              </w:rPr>
              <w:br w:type="textWrapping"/>
            </w:r>
            <w:r>
              <w:rPr>
                <w:rFonts w:hint="eastAsia" w:ascii="宋体" w:hAnsi="宋体" w:eastAsia="宋体" w:cs="宋体"/>
                <w:color w:val="000000" w:themeColor="text1"/>
                <w:sz w:val="24"/>
                <w:szCs w:val="24"/>
                <w14:textFill>
                  <w14:solidFill>
                    <w14:schemeClr w14:val="tx1"/>
                  </w14:solidFill>
                </w14:textFill>
              </w:rPr>
              <w:t>（2）远程提供服务：提供多样化线上服务渠道，包括但不限于邮件、微信；采用远程技术方法在2小时内给予排除，若远程方法无法排除，应派遣技术人员12小时内赶到现场进行问题处理，现场解决问题时间不超过3小时，重大故障处理时限不超过2小时修复。否则算作违约。</w:t>
            </w:r>
          </w:p>
        </w:tc>
      </w:tr>
      <w:tr w14:paraId="19C63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B7EA0C">
            <w:pPr>
              <w:pStyle w:val="26"/>
              <w:keepNext w:val="0"/>
              <w:keepLines w:val="0"/>
              <w:pageBreakBefore w:val="0"/>
              <w:widowControl/>
              <w:numPr>
                <w:ilvl w:val="0"/>
                <w:numId w:val="17"/>
              </w:numPr>
              <w:kinsoku/>
              <w:wordWrap/>
              <w:overflowPunct/>
              <w:topLinePunct w:val="0"/>
              <w:autoSpaceDE/>
              <w:autoSpaceDN/>
              <w:bidi w:val="0"/>
              <w:adjustRightInd w:val="0"/>
              <w:snapToGrid w:val="0"/>
              <w:spacing w:line="240" w:lineRule="auto"/>
              <w:ind w:left="425" w:hanging="425"/>
              <w:textAlignment w:val="auto"/>
              <w:rPr>
                <w:rFonts w:hint="eastAsia" w:ascii="宋体" w:hAnsi="宋体" w:eastAsia="宋体" w:cs="宋体"/>
                <w:b w:val="0"/>
                <w:bCs w:val="0"/>
                <w:color w:val="000000" w:themeColor="text1"/>
                <w:sz w:val="24"/>
                <w:szCs w:val="24"/>
                <w14:textFill>
                  <w14:solidFill>
                    <w14:schemeClr w14:val="tx1"/>
                  </w14:solidFill>
                </w14:textFill>
              </w:rPr>
            </w:pPr>
          </w:p>
        </w:tc>
        <w:tc>
          <w:tcPr>
            <w:tcW w:w="14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798594">
            <w:pPr>
              <w:pStyle w:val="26"/>
              <w:keepNext w:val="0"/>
              <w:keepLines w:val="0"/>
              <w:pageBreakBefore w:val="0"/>
              <w:numPr>
                <w:ilvl w:val="-1"/>
                <w:numId w:val="0"/>
              </w:numPr>
              <w:kinsoku/>
              <w:wordWrap/>
              <w:overflowPunct/>
              <w:topLinePunct w:val="0"/>
              <w:autoSpaceDE/>
              <w:autoSpaceDN/>
              <w:bidi w:val="0"/>
              <w:adjustRightInd w:val="0"/>
              <w:snapToGrid w:val="0"/>
              <w:spacing w:line="240" w:lineRule="auto"/>
              <w:ind w:left="0" w:firstLine="0"/>
              <w:jc w:val="both"/>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改造服务及兼容性要求</w:t>
            </w:r>
          </w:p>
        </w:tc>
        <w:tc>
          <w:tcPr>
            <w:tcW w:w="7370" w:type="dxa"/>
            <w:tcBorders>
              <w:top w:val="single" w:color="000000" w:sz="4" w:space="0"/>
              <w:left w:val="single" w:color="000000" w:sz="4" w:space="0"/>
              <w:bottom w:val="single" w:color="000000" w:sz="4" w:space="0"/>
              <w:right w:val="single" w:color="000000" w:sz="4" w:space="0"/>
            </w:tcBorders>
            <w:shd w:val="clear" w:color="auto" w:fill="FFFFFF"/>
          </w:tcPr>
          <w:p w14:paraId="74D5FB86">
            <w:pPr>
              <w:pStyle w:val="26"/>
              <w:keepNext w:val="0"/>
              <w:keepLines w:val="0"/>
              <w:pageBreakBefore w:val="0"/>
              <w:numPr>
                <w:ilvl w:val="0"/>
                <w:numId w:val="19"/>
              </w:numPr>
              <w:kinsoku/>
              <w:wordWrap/>
              <w:overflowPunct/>
              <w:topLinePunct w:val="0"/>
              <w:autoSpaceDE/>
              <w:autoSpaceDN/>
              <w:bidi w:val="0"/>
              <w:adjustRightInd w:val="0"/>
              <w:snapToGrid w:val="0"/>
              <w:spacing w:line="240" w:lineRule="auto"/>
              <w:ind w:left="425" w:hanging="425"/>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系统应具有良好的稳定性、兼容性、安全性。</w:t>
            </w:r>
          </w:p>
          <w:p w14:paraId="5F4A6428">
            <w:pPr>
              <w:pStyle w:val="26"/>
              <w:keepNext w:val="0"/>
              <w:keepLines w:val="0"/>
              <w:pageBreakBefore w:val="0"/>
              <w:numPr>
                <w:ilvl w:val="0"/>
                <w:numId w:val="19"/>
              </w:numPr>
              <w:kinsoku/>
              <w:wordWrap/>
              <w:overflowPunct/>
              <w:topLinePunct w:val="0"/>
              <w:autoSpaceDE/>
              <w:autoSpaceDN/>
              <w:bidi w:val="0"/>
              <w:adjustRightInd w:val="0"/>
              <w:snapToGrid w:val="0"/>
              <w:spacing w:line="240" w:lineRule="auto"/>
              <w:ind w:left="425" w:hanging="425"/>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系统应具有良好的架构，易于扩展和维护。</w:t>
            </w:r>
          </w:p>
          <w:p w14:paraId="21382D7D">
            <w:pPr>
              <w:pStyle w:val="26"/>
              <w:keepNext w:val="0"/>
              <w:keepLines w:val="0"/>
              <w:pageBreakBefore w:val="0"/>
              <w:numPr>
                <w:ilvl w:val="0"/>
                <w:numId w:val="19"/>
              </w:numPr>
              <w:kinsoku/>
              <w:wordWrap/>
              <w:overflowPunct/>
              <w:topLinePunct w:val="0"/>
              <w:autoSpaceDE/>
              <w:autoSpaceDN/>
              <w:bidi w:val="0"/>
              <w:adjustRightInd w:val="0"/>
              <w:snapToGrid w:val="0"/>
              <w:spacing w:line="240" w:lineRule="auto"/>
              <w:ind w:left="425" w:hanging="425"/>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与医院其它系统的集成：系统应提供可集成到医院其它系统的标准接口。接口应成熟、稳定，集成方便。</w:t>
            </w:r>
            <w:r>
              <w:rPr>
                <w:rFonts w:hint="eastAsia" w:ascii="宋体" w:hAnsi="宋体" w:eastAsia="宋体" w:cs="宋体"/>
                <w:color w:val="000000" w:themeColor="text1"/>
                <w:sz w:val="24"/>
                <w:szCs w:val="24"/>
                <w14:textFill>
                  <w14:solidFill>
                    <w14:schemeClr w14:val="tx1"/>
                  </w14:solidFill>
                </w14:textFill>
              </w:rPr>
              <w:t>要求对接包括但不限于HIS/EMR、集成平台等系统，费用含在本次报价内。</w:t>
            </w:r>
          </w:p>
          <w:p w14:paraId="7630A8B5">
            <w:pPr>
              <w:pStyle w:val="26"/>
              <w:keepNext w:val="0"/>
              <w:keepLines w:val="0"/>
              <w:pageBreakBefore w:val="0"/>
              <w:numPr>
                <w:ilvl w:val="0"/>
                <w:numId w:val="19"/>
              </w:numPr>
              <w:kinsoku/>
              <w:wordWrap/>
              <w:overflowPunct/>
              <w:topLinePunct w:val="0"/>
              <w:autoSpaceDE/>
              <w:autoSpaceDN/>
              <w:bidi w:val="0"/>
              <w:adjustRightInd w:val="0"/>
              <w:snapToGrid w:val="0"/>
              <w:spacing w:line="240" w:lineRule="auto"/>
              <w:ind w:left="425" w:hanging="425"/>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使用要求：界面友好，操作方便，结果清晰明了，允许操作使用人员根据自己的习惯对相关功能进行个性化设置；系统运行速度快，无明显的并发延迟。</w:t>
            </w:r>
          </w:p>
          <w:p w14:paraId="0DD6B26F">
            <w:pPr>
              <w:pStyle w:val="26"/>
              <w:keepNext w:val="0"/>
              <w:keepLines w:val="0"/>
              <w:pageBreakBefore w:val="0"/>
              <w:numPr>
                <w:ilvl w:val="0"/>
                <w:numId w:val="19"/>
              </w:numPr>
              <w:kinsoku/>
              <w:wordWrap/>
              <w:overflowPunct/>
              <w:topLinePunct w:val="0"/>
              <w:autoSpaceDE/>
              <w:autoSpaceDN/>
              <w:bidi w:val="0"/>
              <w:adjustRightInd w:val="0"/>
              <w:snapToGrid w:val="0"/>
              <w:spacing w:line="240" w:lineRule="auto"/>
              <w:ind w:left="425" w:hanging="425"/>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▲配合采购人进行医院信息互联互通标准化成熟度测评四级甲等评审，评审工作中涉及本项目的，成交供应商需免费按时进行改造或升级。</w:t>
            </w:r>
          </w:p>
          <w:p w14:paraId="45A0850F">
            <w:pPr>
              <w:pStyle w:val="26"/>
              <w:keepNext w:val="0"/>
              <w:keepLines w:val="0"/>
              <w:pageBreakBefore w:val="0"/>
              <w:numPr>
                <w:ilvl w:val="0"/>
                <w:numId w:val="19"/>
              </w:numPr>
              <w:kinsoku/>
              <w:wordWrap/>
              <w:overflowPunct/>
              <w:topLinePunct w:val="0"/>
              <w:autoSpaceDE/>
              <w:autoSpaceDN/>
              <w:bidi w:val="0"/>
              <w:adjustRightInd w:val="0"/>
              <w:snapToGrid w:val="0"/>
              <w:spacing w:line="240" w:lineRule="auto"/>
              <w:ind w:left="425" w:hanging="425"/>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▲配合采购人进行智慧医疗分级评价标准五级评审，评审工作中涉及本项目的,成交供应商需免费按时进行改造或升级。</w:t>
            </w:r>
          </w:p>
          <w:p w14:paraId="47C3B60A">
            <w:pPr>
              <w:pStyle w:val="26"/>
              <w:keepNext w:val="0"/>
              <w:keepLines w:val="0"/>
              <w:pageBreakBefore w:val="0"/>
              <w:numPr>
                <w:ilvl w:val="0"/>
                <w:numId w:val="19"/>
              </w:numPr>
              <w:kinsoku/>
              <w:wordWrap/>
              <w:overflowPunct/>
              <w:topLinePunct w:val="0"/>
              <w:autoSpaceDE/>
              <w:autoSpaceDN/>
              <w:bidi w:val="0"/>
              <w:adjustRightInd w:val="0"/>
              <w:snapToGrid w:val="0"/>
              <w:spacing w:line="240" w:lineRule="auto"/>
              <w:ind w:left="425" w:hanging="425"/>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▲配合采购人针对本项目进行信息安全等级保护三级测评，评审工作中涉及本项目的，成交供应商需免费按时进行改造或升级。</w:t>
            </w:r>
          </w:p>
          <w:p w14:paraId="11FB2E2A">
            <w:pPr>
              <w:pStyle w:val="26"/>
              <w:keepNext w:val="0"/>
              <w:keepLines w:val="0"/>
              <w:pageBreakBefore w:val="0"/>
              <w:numPr>
                <w:ilvl w:val="0"/>
                <w:numId w:val="19"/>
              </w:numPr>
              <w:kinsoku/>
              <w:wordWrap/>
              <w:overflowPunct/>
              <w:topLinePunct w:val="0"/>
              <w:autoSpaceDE/>
              <w:autoSpaceDN/>
              <w:bidi w:val="0"/>
              <w:adjustRightInd w:val="0"/>
              <w:snapToGrid w:val="0"/>
              <w:spacing w:line="240" w:lineRule="auto"/>
              <w:ind w:left="425" w:hanging="425"/>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▲配合采购人进行商用密码应用安全性改造，改造工作中涉及本项目的，成交供应商需免费</w:t>
            </w:r>
            <w:r>
              <w:rPr>
                <w:rFonts w:hint="eastAsia" w:ascii="宋体" w:hAnsi="宋体" w:eastAsia="宋体" w:cs="宋体"/>
                <w:b w:val="0"/>
                <w:bCs w:val="0"/>
                <w:color w:val="000000" w:themeColor="text1"/>
                <w:sz w:val="24"/>
                <w:szCs w:val="24"/>
                <w:lang w:val="en-US" w:eastAsia="zh-CN"/>
                <w14:textFill>
                  <w14:solidFill>
                    <w14:schemeClr w14:val="tx1"/>
                  </w14:solidFill>
                </w14:textFill>
              </w:rPr>
              <w:t>按时</w:t>
            </w:r>
            <w:r>
              <w:rPr>
                <w:rFonts w:hint="eastAsia" w:ascii="宋体" w:hAnsi="宋体" w:eastAsia="宋体" w:cs="宋体"/>
                <w:b w:val="0"/>
                <w:bCs w:val="0"/>
                <w:color w:val="000000" w:themeColor="text1"/>
                <w:sz w:val="24"/>
                <w:szCs w:val="24"/>
                <w14:textFill>
                  <w14:solidFill>
                    <w14:schemeClr w14:val="tx1"/>
                  </w14:solidFill>
                </w14:textFill>
              </w:rPr>
              <w:t>进行改造或升级。</w:t>
            </w:r>
          </w:p>
          <w:p w14:paraId="3CB6424D">
            <w:pPr>
              <w:pStyle w:val="26"/>
              <w:keepNext w:val="0"/>
              <w:keepLines w:val="0"/>
              <w:pageBreakBefore w:val="0"/>
              <w:numPr>
                <w:ilvl w:val="0"/>
                <w:numId w:val="19"/>
              </w:numPr>
              <w:kinsoku/>
              <w:wordWrap/>
              <w:overflowPunct/>
              <w:topLinePunct w:val="0"/>
              <w:autoSpaceDE/>
              <w:autoSpaceDN/>
              <w:bidi w:val="0"/>
              <w:adjustRightInd w:val="0"/>
              <w:snapToGrid w:val="0"/>
              <w:spacing w:line="240" w:lineRule="auto"/>
              <w:ind w:left="425" w:hanging="425"/>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▲要求支持部署在信创服务器，支持信创系统，支持信创数据库，支持国密改造。</w:t>
            </w:r>
          </w:p>
        </w:tc>
      </w:tr>
      <w:tr w14:paraId="74CF0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110FA2">
            <w:pPr>
              <w:pStyle w:val="26"/>
              <w:keepNext w:val="0"/>
              <w:keepLines w:val="0"/>
              <w:pageBreakBefore w:val="0"/>
              <w:widowControl/>
              <w:numPr>
                <w:ilvl w:val="0"/>
                <w:numId w:val="17"/>
              </w:numPr>
              <w:kinsoku/>
              <w:wordWrap/>
              <w:overflowPunct/>
              <w:topLinePunct w:val="0"/>
              <w:autoSpaceDE/>
              <w:autoSpaceDN/>
              <w:bidi w:val="0"/>
              <w:adjustRightInd w:val="0"/>
              <w:snapToGrid w:val="0"/>
              <w:spacing w:line="240" w:lineRule="auto"/>
              <w:ind w:left="425" w:hanging="425"/>
              <w:textAlignment w:val="auto"/>
              <w:rPr>
                <w:rFonts w:hint="eastAsia" w:ascii="宋体" w:hAnsi="宋体" w:eastAsia="宋体" w:cs="宋体"/>
                <w:b w:val="0"/>
                <w:bCs w:val="0"/>
                <w:color w:val="000000" w:themeColor="text1"/>
                <w:sz w:val="24"/>
                <w:szCs w:val="24"/>
                <w14:textFill>
                  <w14:solidFill>
                    <w14:schemeClr w14:val="tx1"/>
                  </w14:solidFill>
                </w14:textFill>
              </w:rPr>
            </w:pPr>
          </w:p>
        </w:tc>
        <w:tc>
          <w:tcPr>
            <w:tcW w:w="14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6D670B">
            <w:pPr>
              <w:pStyle w:val="26"/>
              <w:keepNext w:val="0"/>
              <w:keepLines w:val="0"/>
              <w:pageBreakBefore w:val="0"/>
              <w:numPr>
                <w:ilvl w:val="-1"/>
                <w:numId w:val="0"/>
              </w:numPr>
              <w:kinsoku/>
              <w:wordWrap/>
              <w:overflowPunct/>
              <w:topLinePunct w:val="0"/>
              <w:autoSpaceDE/>
              <w:autoSpaceDN/>
              <w:bidi w:val="0"/>
              <w:adjustRightInd w:val="0"/>
              <w:snapToGrid w:val="0"/>
              <w:spacing w:line="240" w:lineRule="auto"/>
              <w:ind w:left="0" w:firstLine="0"/>
              <w:jc w:val="both"/>
              <w:textAlignment w:val="auto"/>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项目实施要求</w:t>
            </w:r>
          </w:p>
        </w:tc>
        <w:tc>
          <w:tcPr>
            <w:tcW w:w="7370" w:type="dxa"/>
            <w:tcBorders>
              <w:top w:val="single" w:color="000000" w:sz="4" w:space="0"/>
              <w:left w:val="single" w:color="000000" w:sz="4" w:space="0"/>
              <w:bottom w:val="single" w:color="000000" w:sz="4" w:space="0"/>
              <w:right w:val="single" w:color="000000" w:sz="4" w:space="0"/>
            </w:tcBorders>
            <w:shd w:val="clear" w:color="auto" w:fill="FFFFFF"/>
          </w:tcPr>
          <w:p w14:paraId="2B4AD1D0">
            <w:pPr>
              <w:pStyle w:val="26"/>
              <w:keepNext w:val="0"/>
              <w:keepLines w:val="0"/>
              <w:pageBreakBefore w:val="0"/>
              <w:numPr>
                <w:ilvl w:val="0"/>
                <w:numId w:val="20"/>
              </w:numPr>
              <w:kinsoku/>
              <w:wordWrap/>
              <w:overflowPunct/>
              <w:topLinePunct w:val="0"/>
              <w:autoSpaceDE/>
              <w:autoSpaceDN/>
              <w:bidi w:val="0"/>
              <w:adjustRightInd w:val="0"/>
              <w:snapToGrid w:val="0"/>
              <w:spacing w:line="240" w:lineRule="auto"/>
              <w:ind w:left="420" w:leftChars="0" w:hanging="42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项目团队成员应具有计算机信息技术/药学专业背景，项目负责人应具备相应信息系统项目管理经验。</w:t>
            </w:r>
          </w:p>
          <w:p w14:paraId="3C913B3C">
            <w:pPr>
              <w:pStyle w:val="26"/>
              <w:keepNext w:val="0"/>
              <w:keepLines w:val="0"/>
              <w:pageBreakBefore w:val="0"/>
              <w:numPr>
                <w:ilvl w:val="0"/>
                <w:numId w:val="20"/>
              </w:numPr>
              <w:kinsoku/>
              <w:wordWrap/>
              <w:overflowPunct/>
              <w:topLinePunct w:val="0"/>
              <w:autoSpaceDE/>
              <w:autoSpaceDN/>
              <w:bidi w:val="0"/>
              <w:adjustRightInd w:val="0"/>
              <w:snapToGrid w:val="0"/>
              <w:spacing w:line="240" w:lineRule="auto"/>
              <w:ind w:left="420" w:leftChars="0" w:hanging="42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项目实施人员必须为本公司员工</w:t>
            </w:r>
            <w:r>
              <w:rPr>
                <w:rFonts w:hint="eastAsia" w:ascii="宋体" w:hAnsi="宋体" w:eastAsia="宋体" w:cs="宋体"/>
                <w:color w:val="000000" w:themeColor="text1"/>
                <w:sz w:val="24"/>
                <w:szCs w:val="24"/>
                <w:lang w:eastAsia="zh-CN"/>
                <w14:textFill>
                  <w14:solidFill>
                    <w14:schemeClr w14:val="tx1"/>
                  </w14:solidFill>
                </w14:textFill>
              </w:rPr>
              <w:t>；</w:t>
            </w:r>
          </w:p>
          <w:p w14:paraId="06EAD640">
            <w:pPr>
              <w:pStyle w:val="26"/>
              <w:keepNext w:val="0"/>
              <w:keepLines w:val="0"/>
              <w:pageBreakBefore w:val="0"/>
              <w:numPr>
                <w:ilvl w:val="0"/>
                <w:numId w:val="20"/>
              </w:numPr>
              <w:kinsoku/>
              <w:wordWrap/>
              <w:overflowPunct/>
              <w:topLinePunct w:val="0"/>
              <w:autoSpaceDE/>
              <w:autoSpaceDN/>
              <w:bidi w:val="0"/>
              <w:adjustRightInd w:val="0"/>
              <w:snapToGrid w:val="0"/>
              <w:spacing w:line="240" w:lineRule="auto"/>
              <w:ind w:left="420" w:leftChars="0" w:hanging="420"/>
              <w:textAlignment w:val="auto"/>
              <w:rPr>
                <w:rFonts w:hint="default"/>
                <w:lang w:val="en-US" w:eastAsia="zh-CN"/>
              </w:rPr>
            </w:pPr>
            <w:r>
              <w:rPr>
                <w:rFonts w:hint="eastAsia" w:ascii="宋体" w:hAnsi="宋体" w:eastAsia="宋体" w:cs="宋体"/>
                <w:bCs w:val="0"/>
                <w:color w:val="000000" w:themeColor="text1"/>
                <w:sz w:val="24"/>
                <w:szCs w:val="24"/>
                <w14:textFill>
                  <w14:solidFill>
                    <w14:schemeClr w14:val="tx1"/>
                  </w14:solidFill>
                </w14:textFill>
              </w:rPr>
              <w:t>实施人员：现场</w:t>
            </w:r>
            <w:r>
              <w:rPr>
                <w:rFonts w:hint="eastAsia" w:ascii="宋体" w:hAnsi="宋体" w:eastAsia="宋体" w:cs="宋体"/>
                <w:bCs w:val="0"/>
                <w:color w:val="000000" w:themeColor="text1"/>
                <w:sz w:val="24"/>
                <w:szCs w:val="24"/>
                <w:lang w:val="en-US" w:eastAsia="zh-CN"/>
                <w14:textFill>
                  <w14:solidFill>
                    <w14:schemeClr w14:val="tx1"/>
                  </w14:solidFill>
                </w14:textFill>
              </w:rPr>
              <w:t>驻场1</w:t>
            </w:r>
            <w:r>
              <w:rPr>
                <w:rFonts w:hint="eastAsia" w:ascii="宋体" w:hAnsi="宋体" w:eastAsia="宋体" w:cs="宋体"/>
                <w:bCs w:val="0"/>
                <w:color w:val="000000" w:themeColor="text1"/>
                <w:sz w:val="24"/>
                <w:szCs w:val="24"/>
                <w14:textFill>
                  <w14:solidFill>
                    <w14:schemeClr w14:val="tx1"/>
                  </w14:solidFill>
                </w14:textFill>
              </w:rPr>
              <w:t>人及以上。</w:t>
            </w:r>
          </w:p>
        </w:tc>
      </w:tr>
      <w:tr w14:paraId="29685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772042">
            <w:pPr>
              <w:pStyle w:val="26"/>
              <w:keepNext w:val="0"/>
              <w:keepLines w:val="0"/>
              <w:pageBreakBefore w:val="0"/>
              <w:widowControl/>
              <w:numPr>
                <w:ilvl w:val="0"/>
                <w:numId w:val="17"/>
              </w:numPr>
              <w:kinsoku/>
              <w:wordWrap/>
              <w:overflowPunct/>
              <w:topLinePunct w:val="0"/>
              <w:autoSpaceDE/>
              <w:autoSpaceDN/>
              <w:bidi w:val="0"/>
              <w:adjustRightInd w:val="0"/>
              <w:snapToGrid w:val="0"/>
              <w:spacing w:line="240" w:lineRule="auto"/>
              <w:ind w:left="425" w:hanging="425"/>
              <w:textAlignment w:val="auto"/>
              <w:rPr>
                <w:rFonts w:hint="eastAsia" w:ascii="宋体" w:hAnsi="宋体" w:eastAsia="宋体" w:cs="宋体"/>
                <w:b w:val="0"/>
                <w:bCs w:val="0"/>
                <w:color w:val="000000" w:themeColor="text1"/>
                <w:sz w:val="24"/>
                <w:szCs w:val="24"/>
                <w14:textFill>
                  <w14:solidFill>
                    <w14:schemeClr w14:val="tx1"/>
                  </w14:solidFill>
                </w14:textFill>
              </w:rPr>
            </w:pPr>
          </w:p>
        </w:tc>
        <w:tc>
          <w:tcPr>
            <w:tcW w:w="14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59532C">
            <w:pPr>
              <w:pStyle w:val="26"/>
              <w:keepNext w:val="0"/>
              <w:keepLines w:val="0"/>
              <w:pageBreakBefore w:val="0"/>
              <w:numPr>
                <w:ilvl w:val="-1"/>
                <w:numId w:val="0"/>
              </w:numPr>
              <w:kinsoku/>
              <w:wordWrap/>
              <w:overflowPunct/>
              <w:topLinePunct w:val="0"/>
              <w:autoSpaceDE/>
              <w:autoSpaceDN/>
              <w:bidi w:val="0"/>
              <w:adjustRightInd w:val="0"/>
              <w:snapToGrid w:val="0"/>
              <w:spacing w:line="240" w:lineRule="auto"/>
              <w:ind w:left="0" w:firstLine="0"/>
              <w:jc w:val="both"/>
              <w:textAlignment w:val="auto"/>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商务要求</w:t>
            </w:r>
          </w:p>
        </w:tc>
        <w:tc>
          <w:tcPr>
            <w:tcW w:w="7370" w:type="dxa"/>
            <w:tcBorders>
              <w:top w:val="single" w:color="000000" w:sz="4" w:space="0"/>
              <w:left w:val="single" w:color="000000" w:sz="4" w:space="0"/>
              <w:bottom w:val="single" w:color="000000" w:sz="4" w:space="0"/>
              <w:right w:val="single" w:color="000000" w:sz="4" w:space="0"/>
            </w:tcBorders>
            <w:shd w:val="clear" w:color="auto" w:fill="FFFFFF"/>
          </w:tcPr>
          <w:p w14:paraId="447CBA4D">
            <w:pPr>
              <w:pStyle w:val="26"/>
              <w:numPr>
                <w:ilvl w:val="0"/>
                <w:numId w:val="21"/>
              </w:numPr>
              <w:adjustRightInd w:val="0"/>
              <w:snapToGrid w:val="0"/>
              <w:spacing w:line="240" w:lineRule="auto"/>
              <w:ind w:left="420" w:hanging="42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质保期≥1年；过保后维保不超过6% / 年；接入互联网医院进行审方不能额外收费。</w:t>
            </w:r>
          </w:p>
          <w:p w14:paraId="2E6D02C8">
            <w:pPr>
              <w:pStyle w:val="26"/>
              <w:numPr>
                <w:ilvl w:val="0"/>
                <w:numId w:val="21"/>
              </w:numPr>
              <w:adjustRightInd w:val="0"/>
              <w:snapToGrid w:val="0"/>
              <w:spacing w:line="240" w:lineRule="auto"/>
              <w:ind w:left="420" w:hanging="42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工期：3个月以内</w:t>
            </w:r>
          </w:p>
          <w:p w14:paraId="5E2C6E09">
            <w:pPr>
              <w:pStyle w:val="26"/>
              <w:numPr>
                <w:ilvl w:val="0"/>
                <w:numId w:val="21"/>
              </w:numPr>
              <w:adjustRightInd w:val="0"/>
              <w:snapToGrid w:val="0"/>
              <w:spacing w:line="240" w:lineRule="auto"/>
              <w:ind w:left="420" w:hanging="42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付款方式：</w:t>
            </w:r>
            <w:r>
              <w:rPr>
                <w:rFonts w:hint="eastAsia" w:ascii="宋体" w:hAnsi="宋体" w:eastAsia="宋体" w:cs="宋体"/>
                <w:color w:val="000000" w:themeColor="text1"/>
                <w:sz w:val="24"/>
                <w:szCs w:val="24"/>
                <w:lang w:val="en-US" w:eastAsia="zh-CN"/>
                <w14:textFill>
                  <w14:solidFill>
                    <w14:schemeClr w14:val="tx1"/>
                  </w14:solidFill>
                </w14:textFill>
              </w:rPr>
              <w:br w:type="textWrapping"/>
            </w:r>
            <w:r>
              <w:rPr>
                <w:rFonts w:hint="eastAsia"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预付款：双方签订合同后，采购人凭供应商开具的真实有效发票支付合同款</w:t>
            </w: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0%作为预付款；</w:t>
            </w:r>
            <w:r>
              <w:rPr>
                <w:rFonts w:hint="eastAsia" w:ascii="宋体" w:hAnsi="宋体" w:eastAsia="宋体" w:cs="宋体"/>
                <w:color w:val="000000" w:themeColor="text1"/>
                <w:sz w:val="24"/>
                <w:szCs w:val="24"/>
                <w14:textFill>
                  <w14:solidFill>
                    <w14:schemeClr w14:val="tx1"/>
                  </w14:solidFill>
                </w14:textFill>
              </w:rPr>
              <w:br w:type="textWrapping"/>
            </w:r>
            <w:r>
              <w:rPr>
                <w:rFonts w:hint="eastAsia"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系统安装调试完毕验收合格并签署验收报告后，采购人凭供应商开具的真实有效发票一次性支付剩余合同款。</w:t>
            </w:r>
          </w:p>
          <w:p w14:paraId="68ADDCF4">
            <w:pPr>
              <w:pStyle w:val="26"/>
              <w:numPr>
                <w:ilvl w:val="0"/>
                <w:numId w:val="21"/>
              </w:numPr>
              <w:adjustRightInd w:val="0"/>
              <w:snapToGrid w:val="0"/>
              <w:spacing w:line="240" w:lineRule="auto"/>
              <w:ind w:left="420" w:hanging="42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人员要求：</w:t>
            </w:r>
            <w:r>
              <w:rPr>
                <w:rFonts w:hint="eastAsia" w:ascii="宋体" w:hAnsi="宋体" w:eastAsia="宋体" w:cs="宋体"/>
                <w:color w:val="000000" w:themeColor="text1"/>
                <w:sz w:val="24"/>
                <w:szCs w:val="24"/>
                <w:lang w:eastAsia="zh-CN"/>
                <w14:textFill>
                  <w14:solidFill>
                    <w14:schemeClr w14:val="tx1"/>
                  </w14:solidFill>
                </w14:textFill>
              </w:rPr>
              <w:br w:type="textWrapping"/>
            </w:r>
            <w:r>
              <w:rPr>
                <w:rFonts w:hint="eastAsia" w:ascii="宋体" w:hAnsi="宋体" w:eastAsia="宋体" w:cs="宋体"/>
                <w:bCs w:val="0"/>
                <w:color w:val="000000" w:themeColor="text1"/>
                <w:sz w:val="24"/>
                <w:szCs w:val="24"/>
                <w14:textFill>
                  <w14:solidFill>
                    <w14:schemeClr w14:val="tx1"/>
                  </w14:solidFill>
                </w14:textFill>
              </w:rPr>
              <w:t>供应商需建立售后服务机构以及提供专业化的技术服务团队，包括不限于售后服务工程师。在项目质保期内提供快速、及时的故障排除、技术咨询等服务。</w:t>
            </w:r>
          </w:p>
        </w:tc>
      </w:tr>
      <w:bookmarkEnd w:id="0"/>
    </w:tbl>
    <w:p w14:paraId="4538B4F5">
      <w:pPr>
        <w:pageBreakBefore w:val="0"/>
        <w:kinsoku/>
        <w:wordWrap/>
        <w:overflowPunct/>
        <w:topLinePunct w:val="0"/>
        <w:autoSpaceDE/>
        <w:autoSpaceDN/>
        <w:bidi w:val="0"/>
        <w:spacing w:line="560" w:lineRule="exact"/>
        <w:ind w:right="-1361" w:rightChars="-567"/>
        <w:textAlignment w:val="auto"/>
        <w:rPr>
          <w:rFonts w:hint="eastAsia" w:ascii="宋体" w:hAnsi="宋体" w:eastAsia="宋体" w:cs="宋体"/>
          <w:b w:val="0"/>
          <w:bCs w:val="0"/>
          <w:color w:val="000000" w:themeColor="text1"/>
          <w:sz w:val="24"/>
          <w:szCs w:val="24"/>
          <w14:textFill>
            <w14:solidFill>
              <w14:schemeClr w14:val="tx1"/>
            </w14:solidFill>
          </w14:textFill>
        </w:rPr>
      </w:pPr>
    </w:p>
    <w:sectPr>
      <w:footerReference r:id="rId7" w:type="first"/>
      <w:headerReference r:id="rId5" w:type="default"/>
      <w:footerReference r:id="rId6" w:type="default"/>
      <w:pgSz w:w="11906" w:h="16838"/>
      <w:pgMar w:top="1134" w:right="1417" w:bottom="964" w:left="1417" w:header="720" w:footer="567" w:gutter="0"/>
      <w:pgNumType w:fmt="decimal" w:start="1"/>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C832F2D4-5D4E-4121-9C87-B5203DAA4729}"/>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00000001" w:usb1="08000000" w:usb2="00000000" w:usb3="00000000" w:csb0="00040000" w:csb1="00000000"/>
    <w:embedRegular r:id="rId2" w:fontKey="{1BD7C338-6A65-4C27-8F13-29B1D511381D}"/>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DAD89">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FD9F4F">
                          <w:pPr>
                            <w:pStyle w:val="11"/>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CFD9F4F">
                    <w:pPr>
                      <w:pStyle w:val="11"/>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70EB92">
    <w:pPr>
      <w:pStyle w:val="11"/>
      <w:jc w:val="center"/>
    </w:pPr>
  </w:p>
  <w:p w14:paraId="600A129C">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81C3C">
    <w:pPr>
      <w:rPr>
        <w:rFonts w:hint="default"/>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BF2C71"/>
    <w:multiLevelType w:val="multilevel"/>
    <w:tmpl w:val="86BF2C71"/>
    <w:lvl w:ilvl="0" w:tentative="0">
      <w:start w:val="1"/>
      <w:numFmt w:val="decimal"/>
      <w:lvlText w:val="%1."/>
      <w:lvlJc w:val="left"/>
      <w:pPr>
        <w:ind w:left="420" w:hanging="420"/>
      </w:pPr>
      <w:rPr>
        <w:rFonts w:hint="eastAsia"/>
      </w:rPr>
    </w:lvl>
    <w:lvl w:ilvl="1" w:tentative="0">
      <w:start w:val="0"/>
      <w:numFmt w:val="bullet"/>
      <w:lvlText w:val="▲"/>
      <w:lvlJc w:val="left"/>
      <w:pPr>
        <w:ind w:left="780" w:hanging="360"/>
      </w:pPr>
      <w:rPr>
        <w:rFonts w:hint="eastAsia" w:ascii="宋体" w:hAnsi="宋体" w:eastAsia="宋体" w:cs="Arial"/>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8D1D6139"/>
    <w:multiLevelType w:val="multilevel"/>
    <w:tmpl w:val="8D1D6139"/>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96CA25E3"/>
    <w:multiLevelType w:val="singleLevel"/>
    <w:tmpl w:val="96CA25E3"/>
    <w:lvl w:ilvl="0" w:tentative="0">
      <w:start w:val="1"/>
      <w:numFmt w:val="decimal"/>
      <w:lvlText w:val="%1."/>
      <w:lvlJc w:val="left"/>
      <w:pPr>
        <w:ind w:left="425" w:hanging="425"/>
      </w:pPr>
      <w:rPr>
        <w:rFonts w:hint="default"/>
      </w:rPr>
    </w:lvl>
  </w:abstractNum>
  <w:abstractNum w:abstractNumId="3">
    <w:nsid w:val="9906EFB3"/>
    <w:multiLevelType w:val="singleLevel"/>
    <w:tmpl w:val="9906EFB3"/>
    <w:lvl w:ilvl="0" w:tentative="0">
      <w:start w:val="1"/>
      <w:numFmt w:val="decimal"/>
      <w:lvlText w:val="%1."/>
      <w:lvlJc w:val="left"/>
      <w:pPr>
        <w:ind w:left="425" w:hanging="425"/>
      </w:pPr>
      <w:rPr>
        <w:rFonts w:hint="default"/>
      </w:rPr>
    </w:lvl>
  </w:abstractNum>
  <w:abstractNum w:abstractNumId="4">
    <w:nsid w:val="9E932B59"/>
    <w:multiLevelType w:val="multilevel"/>
    <w:tmpl w:val="9E932B59"/>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B63ADE1C"/>
    <w:multiLevelType w:val="singleLevel"/>
    <w:tmpl w:val="B63ADE1C"/>
    <w:lvl w:ilvl="0" w:tentative="0">
      <w:start w:val="1"/>
      <w:numFmt w:val="decimal"/>
      <w:lvlText w:val="%1."/>
      <w:lvlJc w:val="left"/>
      <w:pPr>
        <w:ind w:left="425" w:hanging="425"/>
      </w:pPr>
      <w:rPr>
        <w:rFonts w:hint="default"/>
      </w:rPr>
    </w:lvl>
  </w:abstractNum>
  <w:abstractNum w:abstractNumId="6">
    <w:nsid w:val="C834DC33"/>
    <w:multiLevelType w:val="multilevel"/>
    <w:tmpl w:val="C834DC33"/>
    <w:lvl w:ilvl="0" w:tentative="0">
      <w:start w:val="1"/>
      <w:numFmt w:val="decimal"/>
      <w:lvlText w:val="%1."/>
      <w:lvlJc w:val="left"/>
      <w:pPr>
        <w:ind w:left="420" w:hanging="420"/>
      </w:pPr>
      <w:rPr>
        <w:rFonts w:hint="eastAsia"/>
      </w:rPr>
    </w:lvl>
    <w:lvl w:ilvl="1" w:tentative="0">
      <w:start w:val="0"/>
      <w:numFmt w:val="bullet"/>
      <w:lvlText w:val="▲"/>
      <w:lvlJc w:val="left"/>
      <w:pPr>
        <w:ind w:left="780" w:hanging="360"/>
      </w:pPr>
      <w:rPr>
        <w:rFonts w:hint="eastAsia" w:ascii="宋体" w:hAnsi="宋体" w:eastAsia="宋体" w:cs="Arial"/>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D5F76F96"/>
    <w:multiLevelType w:val="multilevel"/>
    <w:tmpl w:val="D5F76F9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0ED8C4B"/>
    <w:multiLevelType w:val="multilevel"/>
    <w:tmpl w:val="00ED8C4B"/>
    <w:lvl w:ilvl="0" w:tentative="0">
      <w:start w:val="1"/>
      <w:numFmt w:val="decimal"/>
      <w:lvlText w:val="%1."/>
      <w:lvlJc w:val="left"/>
      <w:pPr>
        <w:ind w:left="360" w:hanging="360"/>
      </w:pPr>
      <w:rPr>
        <w:rFonts w:hint="default" w:asciiTheme="minorEastAsia" w:hAnsiTheme="minorEastAsia" w:eastAsiaTheme="minorEastAsia"/>
        <w:b w:val="0"/>
        <w:bCs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D2EFB2F"/>
    <w:multiLevelType w:val="multilevel"/>
    <w:tmpl w:val="0D2EFB2F"/>
    <w:lvl w:ilvl="0" w:tentative="0">
      <w:start w:val="1"/>
      <w:numFmt w:val="decimal"/>
      <w:lvlText w:val="%1."/>
      <w:lvlJc w:val="left"/>
      <w:pPr>
        <w:ind w:left="420" w:hanging="420"/>
      </w:pPr>
      <w:rPr>
        <w:rFonts w:hint="eastAsia"/>
      </w:rPr>
    </w:lvl>
    <w:lvl w:ilvl="1" w:tentative="0">
      <w:start w:val="0"/>
      <w:numFmt w:val="bullet"/>
      <w:lvlText w:val="▲"/>
      <w:lvlJc w:val="left"/>
      <w:pPr>
        <w:ind w:left="780" w:hanging="360"/>
      </w:pPr>
      <w:rPr>
        <w:rFonts w:hint="eastAsia" w:ascii="宋体" w:hAnsi="宋体" w:eastAsia="宋体" w:cs="Arial"/>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10BBF142"/>
    <w:multiLevelType w:val="multilevel"/>
    <w:tmpl w:val="10BBF142"/>
    <w:lvl w:ilvl="0" w:tentative="0">
      <w:start w:val="1"/>
      <w:numFmt w:val="decimal"/>
      <w:lvlText w:val="%1."/>
      <w:lvlJc w:val="left"/>
      <w:pPr>
        <w:ind w:left="420" w:hanging="420"/>
      </w:pPr>
      <w:rPr>
        <w:rFonts w:hint="eastAsia"/>
      </w:rPr>
    </w:lvl>
    <w:lvl w:ilvl="1" w:tentative="0">
      <w:start w:val="0"/>
      <w:numFmt w:val="bullet"/>
      <w:lvlText w:val="▲"/>
      <w:lvlJc w:val="left"/>
      <w:pPr>
        <w:ind w:left="780" w:hanging="360"/>
      </w:pPr>
      <w:rPr>
        <w:rFonts w:hint="eastAsia" w:ascii="宋体" w:hAnsi="宋体" w:eastAsia="宋体" w:cs="Arial"/>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1F79642C"/>
    <w:multiLevelType w:val="singleLevel"/>
    <w:tmpl w:val="1F79642C"/>
    <w:lvl w:ilvl="0" w:tentative="0">
      <w:start w:val="1"/>
      <w:numFmt w:val="decimal"/>
      <w:lvlText w:val="%1."/>
      <w:lvlJc w:val="left"/>
      <w:pPr>
        <w:ind w:left="425" w:hanging="425"/>
      </w:pPr>
      <w:rPr>
        <w:rFonts w:hint="default"/>
      </w:rPr>
    </w:lvl>
  </w:abstractNum>
  <w:abstractNum w:abstractNumId="12">
    <w:nsid w:val="29E4B9F9"/>
    <w:multiLevelType w:val="multilevel"/>
    <w:tmpl w:val="29E4B9F9"/>
    <w:lvl w:ilvl="0" w:tentative="0">
      <w:start w:val="1"/>
      <w:numFmt w:val="chineseCounting"/>
      <w:suff w:val="nothing"/>
      <w:lvlText w:val="%1、"/>
      <w:lvlJc w:val="left"/>
      <w:pPr>
        <w:ind w:left="0" w:firstLine="420"/>
      </w:pPr>
      <w:rPr>
        <w:rFonts w:hint="eastAsia"/>
      </w:rPr>
    </w:lvl>
    <w:lvl w:ilvl="1" w:tentative="0">
      <w:start w:val="1"/>
      <w:numFmt w:val="decimal"/>
      <w:suff w:val="nothing"/>
      <w:lvlText w:val="%2．"/>
      <w:lvlJc w:val="left"/>
      <w:pPr>
        <w:ind w:left="0" w:firstLine="420"/>
      </w:pPr>
      <w:rPr>
        <w:rFonts w:hint="eastAsia"/>
      </w:rPr>
    </w:lvl>
    <w:lvl w:ilvl="2" w:tentative="0">
      <w:start w:val="1"/>
      <w:numFmt w:val="decimal"/>
      <w:suff w:val="nothing"/>
      <w:lvlText w:val="（%3）"/>
      <w:lvlJc w:val="left"/>
      <w:pPr>
        <w:ind w:left="0" w:firstLine="420"/>
      </w:pPr>
      <w:rPr>
        <w:rFonts w:hint="eastAsia"/>
      </w:rPr>
    </w:lvl>
    <w:lvl w:ilvl="3" w:tentative="0">
      <w:start w:val="1"/>
      <w:numFmt w:val="decimalEnclosedCircleChinese"/>
      <w:suff w:val="nothing"/>
      <w:lvlText w:val="%4"/>
      <w:lvlJc w:val="left"/>
      <w:pPr>
        <w:ind w:left="0" w:firstLine="420"/>
      </w:pPr>
      <w:rPr>
        <w:rFonts w:hint="eastAsia"/>
      </w:rPr>
    </w:lvl>
    <w:lvl w:ilvl="4" w:tentative="0">
      <w:start w:val="1"/>
      <w:numFmt w:val="decimal"/>
      <w:suff w:val="nothing"/>
      <w:lvlText w:val="%5）"/>
      <w:lvlJc w:val="left"/>
      <w:pPr>
        <w:ind w:left="0" w:firstLine="420"/>
      </w:pPr>
      <w:rPr>
        <w:rFonts w:hint="eastAsia"/>
      </w:rPr>
    </w:lvl>
    <w:lvl w:ilvl="5" w:tentative="0">
      <w:start w:val="1"/>
      <w:numFmt w:val="lowerLetter"/>
      <w:suff w:val="nothing"/>
      <w:lvlText w:val="%6．"/>
      <w:lvlJc w:val="left"/>
      <w:pPr>
        <w:ind w:left="0" w:firstLine="420"/>
      </w:pPr>
      <w:rPr>
        <w:rFonts w:hint="eastAsia"/>
      </w:rPr>
    </w:lvl>
    <w:lvl w:ilvl="6" w:tentative="0">
      <w:start w:val="1"/>
      <w:numFmt w:val="lowerLetter"/>
      <w:suff w:val="nothing"/>
      <w:lvlText w:val="%7）"/>
      <w:lvlJc w:val="left"/>
      <w:pPr>
        <w:ind w:left="0" w:firstLine="420"/>
      </w:pPr>
      <w:rPr>
        <w:rFonts w:hint="eastAsia"/>
      </w:rPr>
    </w:lvl>
    <w:lvl w:ilvl="7" w:tentative="0">
      <w:start w:val="1"/>
      <w:numFmt w:val="lowerRoman"/>
      <w:suff w:val="nothing"/>
      <w:lvlText w:val="%8．"/>
      <w:lvlJc w:val="left"/>
      <w:pPr>
        <w:ind w:left="0" w:firstLine="420"/>
      </w:pPr>
      <w:rPr>
        <w:rFonts w:hint="eastAsia"/>
      </w:rPr>
    </w:lvl>
    <w:lvl w:ilvl="8" w:tentative="0">
      <w:start w:val="1"/>
      <w:numFmt w:val="lowerRoman"/>
      <w:suff w:val="nothing"/>
      <w:lvlText w:val="%9）"/>
      <w:lvlJc w:val="left"/>
      <w:pPr>
        <w:ind w:left="0" w:firstLine="420"/>
      </w:pPr>
      <w:rPr>
        <w:rFonts w:hint="eastAsia"/>
      </w:rPr>
    </w:lvl>
  </w:abstractNum>
  <w:abstractNum w:abstractNumId="13">
    <w:nsid w:val="3A620F6E"/>
    <w:multiLevelType w:val="multilevel"/>
    <w:tmpl w:val="3A620F6E"/>
    <w:lvl w:ilvl="0" w:tentative="0">
      <w:start w:val="1"/>
      <w:numFmt w:val="decimal"/>
      <w:lvlText w:val="%1."/>
      <w:lvlJc w:val="left"/>
      <w:pPr>
        <w:ind w:left="360" w:hanging="360"/>
      </w:pPr>
      <w:rPr>
        <w:rFonts w:hint="default" w:asciiTheme="minorEastAsia" w:hAnsiTheme="minorEastAsia" w:eastAsiaTheme="minorEastAsia"/>
        <w:b w:val="0"/>
        <w:bCs w:val="0"/>
        <w:sz w:val="21"/>
        <w:szCs w:val="2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43DC0987"/>
    <w:multiLevelType w:val="multilevel"/>
    <w:tmpl w:val="43DC0987"/>
    <w:lvl w:ilvl="0" w:tentative="0">
      <w:start w:val="1"/>
      <w:numFmt w:val="decimal"/>
      <w:lvlText w:val="%1."/>
      <w:lvlJc w:val="left"/>
      <w:rPr>
        <w:rFonts w:ascii="仿宋" w:hAnsi="仿宋" w:eastAsia="仿宋"/>
        <w:b/>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decimal"/>
      <w:lvlText w:val="%1.%2."/>
      <w:lvlJc w:val="left"/>
      <w:pPr>
        <w:ind w:left="0" w:firstLine="0"/>
      </w:pPr>
      <w:rPr>
        <w:rFonts w:hint="eastAsia" w:ascii="仿宋" w:hAnsi="仿宋" w:eastAsia="仿宋"/>
        <w:b/>
        <w:color w:val="auto"/>
      </w:rPr>
    </w:lvl>
    <w:lvl w:ilvl="2" w:tentative="0">
      <w:start w:val="1"/>
      <w:numFmt w:val="decimal"/>
      <w:lvlText w:val="%1.%2.%3."/>
      <w:lvlJc w:val="left"/>
      <w:pPr>
        <w:ind w:left="0" w:firstLine="0"/>
      </w:pPr>
      <w:rPr>
        <w:rFonts w:hint="eastAsia" w:ascii="仿宋" w:hAnsi="仿宋" w:eastAsia="仿宋"/>
      </w:rPr>
    </w:lvl>
    <w:lvl w:ilvl="3" w:tentative="0">
      <w:start w:val="1"/>
      <w:numFmt w:val="decimal"/>
      <w:pStyle w:val="6"/>
      <w:lvlText w:val="%1.%2.%3.%4."/>
      <w:lvlJc w:val="left"/>
      <w:pPr>
        <w:ind w:left="0" w:firstLine="0"/>
      </w:pPr>
      <w:rPr>
        <w:rFonts w:hint="eastAsia" w:ascii="仿宋" w:hAnsi="仿宋" w:eastAsia="仿宋"/>
      </w:rPr>
    </w:lvl>
    <w:lvl w:ilvl="4" w:tentative="0">
      <w:start w:val="1"/>
      <w:numFmt w:val="decimal"/>
      <w:pStyle w:val="7"/>
      <w:lvlText w:val="%1.%2.%3.%4.%5."/>
      <w:lvlJc w:val="left"/>
      <w:pPr>
        <w:ind w:left="0" w:firstLine="0"/>
      </w:pPr>
      <w:rPr>
        <w:rFonts w:hint="eastAsia"/>
      </w:rPr>
    </w:lvl>
    <w:lvl w:ilvl="5" w:tentative="0">
      <w:start w:val="1"/>
      <w:numFmt w:val="decimal"/>
      <w:pStyle w:val="8"/>
      <w:lvlText w:val="%1.%2.%3.%4.%5.%6."/>
      <w:lvlJc w:val="left"/>
      <w:pPr>
        <w:ind w:left="0" w:firstLine="0"/>
      </w:pPr>
      <w:rPr>
        <w:rFonts w:hint="eastAsia"/>
      </w:rPr>
    </w:lvl>
    <w:lvl w:ilvl="6" w:tentative="0">
      <w:start w:val="1"/>
      <w:numFmt w:val="decimal"/>
      <w:pStyle w:val="9"/>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5">
    <w:nsid w:val="500F2446"/>
    <w:multiLevelType w:val="multilevel"/>
    <w:tmpl w:val="500F2446"/>
    <w:lvl w:ilvl="0" w:tentative="0">
      <w:start w:val="1"/>
      <w:numFmt w:val="decimal"/>
      <w:lvlText w:val="%1."/>
      <w:lvlJc w:val="left"/>
      <w:pPr>
        <w:ind w:left="360" w:hanging="360"/>
      </w:pPr>
      <w:rPr>
        <w:rFonts w:hint="default" w:asciiTheme="minorEastAsia" w:hAnsiTheme="minorEastAsia" w:eastAsiaTheme="minorEastAsia"/>
        <w:b w:val="0"/>
        <w:bCs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53DDBE85"/>
    <w:multiLevelType w:val="singleLevel"/>
    <w:tmpl w:val="53DDBE85"/>
    <w:lvl w:ilvl="0" w:tentative="0">
      <w:start w:val="1"/>
      <w:numFmt w:val="chineseCounting"/>
      <w:suff w:val="nothing"/>
      <w:lvlText w:val="（%1）"/>
      <w:lvlJc w:val="left"/>
      <w:pPr>
        <w:ind w:left="70" w:firstLine="420"/>
      </w:pPr>
      <w:rPr>
        <w:rFonts w:hint="eastAsia"/>
      </w:rPr>
    </w:lvl>
  </w:abstractNum>
  <w:abstractNum w:abstractNumId="17">
    <w:nsid w:val="684F7082"/>
    <w:multiLevelType w:val="multilevel"/>
    <w:tmpl w:val="684F7082"/>
    <w:lvl w:ilvl="0" w:tentative="0">
      <w:start w:val="1"/>
      <w:numFmt w:val="decimal"/>
      <w:lvlText w:val="%1."/>
      <w:lvlJc w:val="left"/>
      <w:pPr>
        <w:ind w:left="420" w:hanging="420"/>
      </w:pPr>
      <w:rPr>
        <w:rFonts w:hint="eastAsia"/>
      </w:rPr>
    </w:lvl>
    <w:lvl w:ilvl="1" w:tentative="0">
      <w:start w:val="0"/>
      <w:numFmt w:val="bullet"/>
      <w:lvlText w:val="▲"/>
      <w:lvlJc w:val="left"/>
      <w:pPr>
        <w:ind w:left="780" w:hanging="360"/>
      </w:pPr>
      <w:rPr>
        <w:rFonts w:hint="eastAsia" w:ascii="宋体" w:hAnsi="宋体" w:eastAsia="宋体" w:cs="Arial"/>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6B70078A"/>
    <w:multiLevelType w:val="multilevel"/>
    <w:tmpl w:val="6B70078A"/>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716F1184"/>
    <w:multiLevelType w:val="multilevel"/>
    <w:tmpl w:val="716F1184"/>
    <w:lvl w:ilvl="0" w:tentative="0">
      <w:start w:val="1"/>
      <w:numFmt w:val="decimal"/>
      <w:lvlText w:val="%1."/>
      <w:lvlJc w:val="left"/>
      <w:pPr>
        <w:ind w:left="360" w:hanging="360"/>
      </w:pPr>
      <w:rPr>
        <w:rFonts w:hint="default" w:asciiTheme="minorEastAsia" w:hAnsiTheme="minorEastAsia" w:eastAsiaTheme="minorEastAsia"/>
        <w:b w:val="0"/>
        <w:bCs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78A3DF22"/>
    <w:multiLevelType w:val="singleLevel"/>
    <w:tmpl w:val="78A3DF22"/>
    <w:lvl w:ilvl="0" w:tentative="0">
      <w:start w:val="1"/>
      <w:numFmt w:val="chineseCounting"/>
      <w:suff w:val="nothing"/>
      <w:lvlText w:val="（%1）"/>
      <w:lvlJc w:val="left"/>
      <w:pPr>
        <w:ind w:left="0" w:firstLine="420"/>
      </w:pPr>
      <w:rPr>
        <w:rFonts w:hint="eastAsia"/>
      </w:rPr>
    </w:lvl>
  </w:abstractNum>
  <w:num w:numId="1">
    <w:abstractNumId w:val="14"/>
  </w:num>
  <w:num w:numId="2">
    <w:abstractNumId w:val="12"/>
  </w:num>
  <w:num w:numId="3">
    <w:abstractNumId w:val="20"/>
  </w:num>
  <w:num w:numId="4">
    <w:abstractNumId w:val="16"/>
  </w:num>
  <w:num w:numId="5">
    <w:abstractNumId w:val="18"/>
  </w:num>
  <w:num w:numId="6">
    <w:abstractNumId w:val="11"/>
  </w:num>
  <w:num w:numId="7">
    <w:abstractNumId w:val="0"/>
  </w:num>
  <w:num w:numId="8">
    <w:abstractNumId w:val="6"/>
  </w:num>
  <w:num w:numId="9">
    <w:abstractNumId w:val="9"/>
  </w:num>
  <w:num w:numId="10">
    <w:abstractNumId w:val="10"/>
  </w:num>
  <w:num w:numId="11">
    <w:abstractNumId w:val="5"/>
  </w:num>
  <w:num w:numId="12">
    <w:abstractNumId w:val="13"/>
  </w:num>
  <w:num w:numId="13">
    <w:abstractNumId w:val="15"/>
  </w:num>
  <w:num w:numId="14">
    <w:abstractNumId w:val="17"/>
  </w:num>
  <w:num w:numId="15">
    <w:abstractNumId w:val="19"/>
  </w:num>
  <w:num w:numId="16">
    <w:abstractNumId w:val="8"/>
  </w:num>
  <w:num w:numId="17">
    <w:abstractNumId w:val="2"/>
  </w:num>
  <w:num w:numId="18">
    <w:abstractNumId w:val="7"/>
  </w:num>
  <w:num w:numId="19">
    <w:abstractNumId w:val="3"/>
  </w:num>
  <w:num w:numId="20">
    <w:abstractNumId w:val="4"/>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552E"/>
    <w:rsid w:val="00001527"/>
    <w:rsid w:val="000020A1"/>
    <w:rsid w:val="000035A4"/>
    <w:rsid w:val="00003A12"/>
    <w:rsid w:val="00007553"/>
    <w:rsid w:val="000134C7"/>
    <w:rsid w:val="000161AC"/>
    <w:rsid w:val="0002196E"/>
    <w:rsid w:val="00021C22"/>
    <w:rsid w:val="00022709"/>
    <w:rsid w:val="00032C1C"/>
    <w:rsid w:val="000471DE"/>
    <w:rsid w:val="00063A8F"/>
    <w:rsid w:val="00075931"/>
    <w:rsid w:val="000844FC"/>
    <w:rsid w:val="00092C90"/>
    <w:rsid w:val="000A073A"/>
    <w:rsid w:val="000A4DDF"/>
    <w:rsid w:val="000A54B1"/>
    <w:rsid w:val="000A5F1C"/>
    <w:rsid w:val="000B0C7C"/>
    <w:rsid w:val="000B3026"/>
    <w:rsid w:val="000B4451"/>
    <w:rsid w:val="000C2D44"/>
    <w:rsid w:val="000C3358"/>
    <w:rsid w:val="000C64FF"/>
    <w:rsid w:val="000D0C21"/>
    <w:rsid w:val="000D3478"/>
    <w:rsid w:val="000E7452"/>
    <w:rsid w:val="000F07AE"/>
    <w:rsid w:val="000F2518"/>
    <w:rsid w:val="000F569B"/>
    <w:rsid w:val="000F5F18"/>
    <w:rsid w:val="0010356A"/>
    <w:rsid w:val="00106200"/>
    <w:rsid w:val="00106979"/>
    <w:rsid w:val="0012026C"/>
    <w:rsid w:val="00122C1E"/>
    <w:rsid w:val="00124CD2"/>
    <w:rsid w:val="00125893"/>
    <w:rsid w:val="00127361"/>
    <w:rsid w:val="0013507D"/>
    <w:rsid w:val="001448DD"/>
    <w:rsid w:val="00147D61"/>
    <w:rsid w:val="00150588"/>
    <w:rsid w:val="001570D7"/>
    <w:rsid w:val="001570FF"/>
    <w:rsid w:val="00172635"/>
    <w:rsid w:val="0018168E"/>
    <w:rsid w:val="00186C56"/>
    <w:rsid w:val="00187E45"/>
    <w:rsid w:val="001B30FA"/>
    <w:rsid w:val="001B47D8"/>
    <w:rsid w:val="001B56B6"/>
    <w:rsid w:val="001C014E"/>
    <w:rsid w:val="001C6177"/>
    <w:rsid w:val="001D01E7"/>
    <w:rsid w:val="001D084D"/>
    <w:rsid w:val="001D0ECA"/>
    <w:rsid w:val="001D157A"/>
    <w:rsid w:val="001D4D52"/>
    <w:rsid w:val="001E2F9A"/>
    <w:rsid w:val="001E56D6"/>
    <w:rsid w:val="001F0CAC"/>
    <w:rsid w:val="001F4134"/>
    <w:rsid w:val="001F4FBD"/>
    <w:rsid w:val="00200B3C"/>
    <w:rsid w:val="00212B4F"/>
    <w:rsid w:val="00226965"/>
    <w:rsid w:val="0023256D"/>
    <w:rsid w:val="0024439F"/>
    <w:rsid w:val="00245CC9"/>
    <w:rsid w:val="00250A95"/>
    <w:rsid w:val="00250FC0"/>
    <w:rsid w:val="002525D4"/>
    <w:rsid w:val="00267923"/>
    <w:rsid w:val="00277969"/>
    <w:rsid w:val="00277E2B"/>
    <w:rsid w:val="00282423"/>
    <w:rsid w:val="002838A6"/>
    <w:rsid w:val="00283C03"/>
    <w:rsid w:val="0028462F"/>
    <w:rsid w:val="00295D2B"/>
    <w:rsid w:val="002A0893"/>
    <w:rsid w:val="002A6B49"/>
    <w:rsid w:val="002B5A34"/>
    <w:rsid w:val="002C69C4"/>
    <w:rsid w:val="002C7726"/>
    <w:rsid w:val="002D06F8"/>
    <w:rsid w:val="002D4DDE"/>
    <w:rsid w:val="002E5EBF"/>
    <w:rsid w:val="002E717F"/>
    <w:rsid w:val="002F5FBB"/>
    <w:rsid w:val="002F7329"/>
    <w:rsid w:val="00302D83"/>
    <w:rsid w:val="0030545F"/>
    <w:rsid w:val="003126B3"/>
    <w:rsid w:val="003259E6"/>
    <w:rsid w:val="00325B55"/>
    <w:rsid w:val="0034386E"/>
    <w:rsid w:val="00351AD4"/>
    <w:rsid w:val="003636C5"/>
    <w:rsid w:val="00364128"/>
    <w:rsid w:val="00375DCE"/>
    <w:rsid w:val="00384D1C"/>
    <w:rsid w:val="003A215F"/>
    <w:rsid w:val="003A49C8"/>
    <w:rsid w:val="003B1BCC"/>
    <w:rsid w:val="003B63BC"/>
    <w:rsid w:val="003B7B58"/>
    <w:rsid w:val="003F2AD6"/>
    <w:rsid w:val="003F4456"/>
    <w:rsid w:val="003F77A3"/>
    <w:rsid w:val="00403523"/>
    <w:rsid w:val="00414562"/>
    <w:rsid w:val="00417881"/>
    <w:rsid w:val="00426DC8"/>
    <w:rsid w:val="00427549"/>
    <w:rsid w:val="00433059"/>
    <w:rsid w:val="00445571"/>
    <w:rsid w:val="0044657A"/>
    <w:rsid w:val="00454B5A"/>
    <w:rsid w:val="004600D3"/>
    <w:rsid w:val="00460C98"/>
    <w:rsid w:val="00482E53"/>
    <w:rsid w:val="004927A6"/>
    <w:rsid w:val="00495A96"/>
    <w:rsid w:val="004A09C3"/>
    <w:rsid w:val="004A571B"/>
    <w:rsid w:val="004A64B5"/>
    <w:rsid w:val="004B1585"/>
    <w:rsid w:val="004B43E1"/>
    <w:rsid w:val="004B497E"/>
    <w:rsid w:val="004C01F6"/>
    <w:rsid w:val="004C02EA"/>
    <w:rsid w:val="004C2441"/>
    <w:rsid w:val="004C249F"/>
    <w:rsid w:val="004C521A"/>
    <w:rsid w:val="004D3D91"/>
    <w:rsid w:val="004D3DE5"/>
    <w:rsid w:val="004D410A"/>
    <w:rsid w:val="004E075B"/>
    <w:rsid w:val="004E37ED"/>
    <w:rsid w:val="004F4959"/>
    <w:rsid w:val="00500CF8"/>
    <w:rsid w:val="005015CD"/>
    <w:rsid w:val="005038E4"/>
    <w:rsid w:val="005128E3"/>
    <w:rsid w:val="00513D2A"/>
    <w:rsid w:val="00515851"/>
    <w:rsid w:val="00534AF3"/>
    <w:rsid w:val="005350CF"/>
    <w:rsid w:val="005421C6"/>
    <w:rsid w:val="0054563D"/>
    <w:rsid w:val="00546C25"/>
    <w:rsid w:val="0054717C"/>
    <w:rsid w:val="0057014E"/>
    <w:rsid w:val="005849D9"/>
    <w:rsid w:val="00593A91"/>
    <w:rsid w:val="0059661D"/>
    <w:rsid w:val="005A2448"/>
    <w:rsid w:val="005A3B36"/>
    <w:rsid w:val="005B3C64"/>
    <w:rsid w:val="005C11F8"/>
    <w:rsid w:val="005C3257"/>
    <w:rsid w:val="005D4A53"/>
    <w:rsid w:val="005D5573"/>
    <w:rsid w:val="005E5022"/>
    <w:rsid w:val="005E6114"/>
    <w:rsid w:val="005F1574"/>
    <w:rsid w:val="0061287A"/>
    <w:rsid w:val="0061558D"/>
    <w:rsid w:val="00624324"/>
    <w:rsid w:val="006314D0"/>
    <w:rsid w:val="00634555"/>
    <w:rsid w:val="00637039"/>
    <w:rsid w:val="00645260"/>
    <w:rsid w:val="00656880"/>
    <w:rsid w:val="00656886"/>
    <w:rsid w:val="00657BE4"/>
    <w:rsid w:val="0066771A"/>
    <w:rsid w:val="006677A5"/>
    <w:rsid w:val="0067046A"/>
    <w:rsid w:val="006731FE"/>
    <w:rsid w:val="00673DA8"/>
    <w:rsid w:val="00674169"/>
    <w:rsid w:val="0068702D"/>
    <w:rsid w:val="0069172D"/>
    <w:rsid w:val="006954C8"/>
    <w:rsid w:val="00697524"/>
    <w:rsid w:val="0069798D"/>
    <w:rsid w:val="006A3293"/>
    <w:rsid w:val="006C750A"/>
    <w:rsid w:val="006D0597"/>
    <w:rsid w:val="006D07A1"/>
    <w:rsid w:val="006D0CE9"/>
    <w:rsid w:val="006D2579"/>
    <w:rsid w:val="006D460D"/>
    <w:rsid w:val="006E5BF8"/>
    <w:rsid w:val="006E7571"/>
    <w:rsid w:val="006F2D15"/>
    <w:rsid w:val="006F56B0"/>
    <w:rsid w:val="00703F17"/>
    <w:rsid w:val="00712768"/>
    <w:rsid w:val="00722CC7"/>
    <w:rsid w:val="007237F3"/>
    <w:rsid w:val="007277BB"/>
    <w:rsid w:val="00741DCA"/>
    <w:rsid w:val="007469EE"/>
    <w:rsid w:val="00756EF4"/>
    <w:rsid w:val="007605F9"/>
    <w:rsid w:val="0076297A"/>
    <w:rsid w:val="00763AD0"/>
    <w:rsid w:val="00767376"/>
    <w:rsid w:val="00771165"/>
    <w:rsid w:val="007743AA"/>
    <w:rsid w:val="00774D78"/>
    <w:rsid w:val="00782358"/>
    <w:rsid w:val="00787C5F"/>
    <w:rsid w:val="007928B4"/>
    <w:rsid w:val="00794D7A"/>
    <w:rsid w:val="007A4FFA"/>
    <w:rsid w:val="007A518C"/>
    <w:rsid w:val="007A7051"/>
    <w:rsid w:val="007B1B6D"/>
    <w:rsid w:val="007C2FFF"/>
    <w:rsid w:val="007C554E"/>
    <w:rsid w:val="007C6FFA"/>
    <w:rsid w:val="007D5ED1"/>
    <w:rsid w:val="007D619F"/>
    <w:rsid w:val="007E04F0"/>
    <w:rsid w:val="007E7253"/>
    <w:rsid w:val="007F7981"/>
    <w:rsid w:val="00802D51"/>
    <w:rsid w:val="008067BA"/>
    <w:rsid w:val="008108BB"/>
    <w:rsid w:val="008145C7"/>
    <w:rsid w:val="00816E02"/>
    <w:rsid w:val="0083297B"/>
    <w:rsid w:val="00864E47"/>
    <w:rsid w:val="008748F8"/>
    <w:rsid w:val="00890C8A"/>
    <w:rsid w:val="0089243F"/>
    <w:rsid w:val="0089250D"/>
    <w:rsid w:val="008A358A"/>
    <w:rsid w:val="008B109D"/>
    <w:rsid w:val="008B2B6E"/>
    <w:rsid w:val="008B412D"/>
    <w:rsid w:val="008B6C3F"/>
    <w:rsid w:val="008C3B0C"/>
    <w:rsid w:val="008D220C"/>
    <w:rsid w:val="008D4914"/>
    <w:rsid w:val="008E0AD6"/>
    <w:rsid w:val="008E7B98"/>
    <w:rsid w:val="008F1570"/>
    <w:rsid w:val="00904139"/>
    <w:rsid w:val="00907F10"/>
    <w:rsid w:val="009103F7"/>
    <w:rsid w:val="00911673"/>
    <w:rsid w:val="00911F4A"/>
    <w:rsid w:val="009131C7"/>
    <w:rsid w:val="00917C5F"/>
    <w:rsid w:val="00924555"/>
    <w:rsid w:val="00927F71"/>
    <w:rsid w:val="00933810"/>
    <w:rsid w:val="00936D15"/>
    <w:rsid w:val="00942814"/>
    <w:rsid w:val="00944BE2"/>
    <w:rsid w:val="00946FDC"/>
    <w:rsid w:val="00951C8C"/>
    <w:rsid w:val="009558A0"/>
    <w:rsid w:val="00957CA0"/>
    <w:rsid w:val="00964141"/>
    <w:rsid w:val="0096704E"/>
    <w:rsid w:val="00967176"/>
    <w:rsid w:val="00971834"/>
    <w:rsid w:val="00991337"/>
    <w:rsid w:val="00991B04"/>
    <w:rsid w:val="009B5237"/>
    <w:rsid w:val="009C7FC0"/>
    <w:rsid w:val="009D7C65"/>
    <w:rsid w:val="009E6F63"/>
    <w:rsid w:val="009F04CE"/>
    <w:rsid w:val="009F48B9"/>
    <w:rsid w:val="00A04891"/>
    <w:rsid w:val="00A0768A"/>
    <w:rsid w:val="00A2030C"/>
    <w:rsid w:val="00A352F7"/>
    <w:rsid w:val="00A35353"/>
    <w:rsid w:val="00A4499F"/>
    <w:rsid w:val="00A53CD5"/>
    <w:rsid w:val="00A54D9A"/>
    <w:rsid w:val="00A5537A"/>
    <w:rsid w:val="00A7259C"/>
    <w:rsid w:val="00A82301"/>
    <w:rsid w:val="00A9552E"/>
    <w:rsid w:val="00A958BF"/>
    <w:rsid w:val="00AB4FF5"/>
    <w:rsid w:val="00AB5B0C"/>
    <w:rsid w:val="00AB74CD"/>
    <w:rsid w:val="00AB77DD"/>
    <w:rsid w:val="00AB7A1B"/>
    <w:rsid w:val="00AC3BF8"/>
    <w:rsid w:val="00AC5337"/>
    <w:rsid w:val="00AD07D2"/>
    <w:rsid w:val="00AD5781"/>
    <w:rsid w:val="00AE4B38"/>
    <w:rsid w:val="00AE75EF"/>
    <w:rsid w:val="00AF4363"/>
    <w:rsid w:val="00B04A34"/>
    <w:rsid w:val="00B076B1"/>
    <w:rsid w:val="00B10854"/>
    <w:rsid w:val="00B25A18"/>
    <w:rsid w:val="00B25E6F"/>
    <w:rsid w:val="00B2727F"/>
    <w:rsid w:val="00B55484"/>
    <w:rsid w:val="00B64F2D"/>
    <w:rsid w:val="00B70220"/>
    <w:rsid w:val="00B87DA6"/>
    <w:rsid w:val="00B91600"/>
    <w:rsid w:val="00BA047C"/>
    <w:rsid w:val="00BA294F"/>
    <w:rsid w:val="00BB72DF"/>
    <w:rsid w:val="00BC0145"/>
    <w:rsid w:val="00BC068D"/>
    <w:rsid w:val="00BC1E0E"/>
    <w:rsid w:val="00BD34A1"/>
    <w:rsid w:val="00BF7971"/>
    <w:rsid w:val="00C037A8"/>
    <w:rsid w:val="00C1428B"/>
    <w:rsid w:val="00C2080A"/>
    <w:rsid w:val="00C275A3"/>
    <w:rsid w:val="00C4249A"/>
    <w:rsid w:val="00C4387C"/>
    <w:rsid w:val="00C536EF"/>
    <w:rsid w:val="00C54DCB"/>
    <w:rsid w:val="00C6054C"/>
    <w:rsid w:val="00C64AF9"/>
    <w:rsid w:val="00C657F5"/>
    <w:rsid w:val="00C75517"/>
    <w:rsid w:val="00C9173C"/>
    <w:rsid w:val="00C95099"/>
    <w:rsid w:val="00CA20B7"/>
    <w:rsid w:val="00CB037C"/>
    <w:rsid w:val="00CB0F18"/>
    <w:rsid w:val="00CB1EB4"/>
    <w:rsid w:val="00CC6CB0"/>
    <w:rsid w:val="00CE11AF"/>
    <w:rsid w:val="00CE402D"/>
    <w:rsid w:val="00CE6073"/>
    <w:rsid w:val="00CE688D"/>
    <w:rsid w:val="00D044C6"/>
    <w:rsid w:val="00D2321C"/>
    <w:rsid w:val="00D36387"/>
    <w:rsid w:val="00D41017"/>
    <w:rsid w:val="00D52727"/>
    <w:rsid w:val="00D54B5A"/>
    <w:rsid w:val="00D551C5"/>
    <w:rsid w:val="00D6050D"/>
    <w:rsid w:val="00D61FA4"/>
    <w:rsid w:val="00D705B7"/>
    <w:rsid w:val="00D7107E"/>
    <w:rsid w:val="00D80050"/>
    <w:rsid w:val="00D823A2"/>
    <w:rsid w:val="00D831B6"/>
    <w:rsid w:val="00DA427D"/>
    <w:rsid w:val="00DA4FE4"/>
    <w:rsid w:val="00DA67CE"/>
    <w:rsid w:val="00DB3BF3"/>
    <w:rsid w:val="00DB4465"/>
    <w:rsid w:val="00DC02E8"/>
    <w:rsid w:val="00DE05CB"/>
    <w:rsid w:val="00DE30F4"/>
    <w:rsid w:val="00DE5146"/>
    <w:rsid w:val="00DF427E"/>
    <w:rsid w:val="00E0361A"/>
    <w:rsid w:val="00E140C9"/>
    <w:rsid w:val="00E2706C"/>
    <w:rsid w:val="00E37402"/>
    <w:rsid w:val="00E57D61"/>
    <w:rsid w:val="00E60E9B"/>
    <w:rsid w:val="00E6619D"/>
    <w:rsid w:val="00E80370"/>
    <w:rsid w:val="00E80EB9"/>
    <w:rsid w:val="00E85AC0"/>
    <w:rsid w:val="00EA3AA9"/>
    <w:rsid w:val="00ED1BE0"/>
    <w:rsid w:val="00ED418B"/>
    <w:rsid w:val="00EE6BEB"/>
    <w:rsid w:val="00EF38DD"/>
    <w:rsid w:val="00EF64F1"/>
    <w:rsid w:val="00F0210F"/>
    <w:rsid w:val="00F049B0"/>
    <w:rsid w:val="00F068AE"/>
    <w:rsid w:val="00F13D29"/>
    <w:rsid w:val="00F173B8"/>
    <w:rsid w:val="00F37601"/>
    <w:rsid w:val="00F433C2"/>
    <w:rsid w:val="00F4504E"/>
    <w:rsid w:val="00F46974"/>
    <w:rsid w:val="00F555CB"/>
    <w:rsid w:val="00F57021"/>
    <w:rsid w:val="00F63EA1"/>
    <w:rsid w:val="00F72419"/>
    <w:rsid w:val="00F765F0"/>
    <w:rsid w:val="00F8451A"/>
    <w:rsid w:val="00F93332"/>
    <w:rsid w:val="00FA139B"/>
    <w:rsid w:val="00FA6B59"/>
    <w:rsid w:val="00FA7991"/>
    <w:rsid w:val="00FB1630"/>
    <w:rsid w:val="00FB2677"/>
    <w:rsid w:val="00FB4E80"/>
    <w:rsid w:val="00FC082E"/>
    <w:rsid w:val="00FC7B00"/>
    <w:rsid w:val="00FF26E7"/>
    <w:rsid w:val="018C1643"/>
    <w:rsid w:val="019329D2"/>
    <w:rsid w:val="01B97F5E"/>
    <w:rsid w:val="01EA636A"/>
    <w:rsid w:val="01EC0334"/>
    <w:rsid w:val="02151639"/>
    <w:rsid w:val="02421D02"/>
    <w:rsid w:val="02B62E4E"/>
    <w:rsid w:val="02EE3C38"/>
    <w:rsid w:val="034229BB"/>
    <w:rsid w:val="03457CFC"/>
    <w:rsid w:val="03AA4FC1"/>
    <w:rsid w:val="03F11C32"/>
    <w:rsid w:val="044B1342"/>
    <w:rsid w:val="044C330C"/>
    <w:rsid w:val="048830F0"/>
    <w:rsid w:val="04891E6A"/>
    <w:rsid w:val="04A62A1C"/>
    <w:rsid w:val="04E050DE"/>
    <w:rsid w:val="0506170D"/>
    <w:rsid w:val="05600E1D"/>
    <w:rsid w:val="05892B82"/>
    <w:rsid w:val="05CA44E8"/>
    <w:rsid w:val="06020126"/>
    <w:rsid w:val="070D0D0A"/>
    <w:rsid w:val="07454BF9"/>
    <w:rsid w:val="0757624F"/>
    <w:rsid w:val="07A30505"/>
    <w:rsid w:val="07D37038"/>
    <w:rsid w:val="08386081"/>
    <w:rsid w:val="087370B9"/>
    <w:rsid w:val="08BA4CE8"/>
    <w:rsid w:val="08DA1F5C"/>
    <w:rsid w:val="092108C3"/>
    <w:rsid w:val="0966277A"/>
    <w:rsid w:val="09664528"/>
    <w:rsid w:val="09A6701A"/>
    <w:rsid w:val="09C0632E"/>
    <w:rsid w:val="0A324EF8"/>
    <w:rsid w:val="0A6E11A4"/>
    <w:rsid w:val="0B666A61"/>
    <w:rsid w:val="0B865355"/>
    <w:rsid w:val="0BB53545"/>
    <w:rsid w:val="0C072833"/>
    <w:rsid w:val="0C285E2F"/>
    <w:rsid w:val="0C3E79DE"/>
    <w:rsid w:val="0C415F6A"/>
    <w:rsid w:val="0C4F3999"/>
    <w:rsid w:val="0C7C4062"/>
    <w:rsid w:val="0C992E66"/>
    <w:rsid w:val="0CCB0563"/>
    <w:rsid w:val="0D1F0D17"/>
    <w:rsid w:val="0DAD574B"/>
    <w:rsid w:val="0DEF00C7"/>
    <w:rsid w:val="0E1F06EF"/>
    <w:rsid w:val="0E2D3511"/>
    <w:rsid w:val="0E401118"/>
    <w:rsid w:val="0E417312"/>
    <w:rsid w:val="0E544711"/>
    <w:rsid w:val="0E81187A"/>
    <w:rsid w:val="0EBA5064"/>
    <w:rsid w:val="0EBD108E"/>
    <w:rsid w:val="0F1C2D99"/>
    <w:rsid w:val="0F476BAA"/>
    <w:rsid w:val="0F753717"/>
    <w:rsid w:val="0F97417B"/>
    <w:rsid w:val="0F9F0794"/>
    <w:rsid w:val="0FD3043D"/>
    <w:rsid w:val="10066A65"/>
    <w:rsid w:val="103510F8"/>
    <w:rsid w:val="104B4C7C"/>
    <w:rsid w:val="105B0B5E"/>
    <w:rsid w:val="107F11B8"/>
    <w:rsid w:val="10967DE9"/>
    <w:rsid w:val="10B60B86"/>
    <w:rsid w:val="10C36034"/>
    <w:rsid w:val="10E01064"/>
    <w:rsid w:val="1191429F"/>
    <w:rsid w:val="121445D6"/>
    <w:rsid w:val="12647A72"/>
    <w:rsid w:val="12745F08"/>
    <w:rsid w:val="12A762DD"/>
    <w:rsid w:val="12DA0441"/>
    <w:rsid w:val="13144FF5"/>
    <w:rsid w:val="137C3678"/>
    <w:rsid w:val="141334FE"/>
    <w:rsid w:val="14777F31"/>
    <w:rsid w:val="148E20A7"/>
    <w:rsid w:val="14C447F8"/>
    <w:rsid w:val="14E629C1"/>
    <w:rsid w:val="151F75E6"/>
    <w:rsid w:val="15962639"/>
    <w:rsid w:val="169E17A5"/>
    <w:rsid w:val="16AB2114"/>
    <w:rsid w:val="16AB79DE"/>
    <w:rsid w:val="16E11692"/>
    <w:rsid w:val="16F70459"/>
    <w:rsid w:val="171001C9"/>
    <w:rsid w:val="17410382"/>
    <w:rsid w:val="177B7D38"/>
    <w:rsid w:val="17C76AD9"/>
    <w:rsid w:val="17CA481C"/>
    <w:rsid w:val="17DD454F"/>
    <w:rsid w:val="18432B19"/>
    <w:rsid w:val="184F6AA7"/>
    <w:rsid w:val="18D53262"/>
    <w:rsid w:val="19294DC1"/>
    <w:rsid w:val="19314B52"/>
    <w:rsid w:val="197C1B46"/>
    <w:rsid w:val="1A0608FF"/>
    <w:rsid w:val="1A8567D8"/>
    <w:rsid w:val="1A89276C"/>
    <w:rsid w:val="1A9A3836"/>
    <w:rsid w:val="1AA70EB7"/>
    <w:rsid w:val="1B2B737F"/>
    <w:rsid w:val="1B446693"/>
    <w:rsid w:val="1B60171F"/>
    <w:rsid w:val="1B79458F"/>
    <w:rsid w:val="1B8151F1"/>
    <w:rsid w:val="1B83540D"/>
    <w:rsid w:val="1BB67591"/>
    <w:rsid w:val="1BCD0437"/>
    <w:rsid w:val="1BD52E29"/>
    <w:rsid w:val="1C0E2F29"/>
    <w:rsid w:val="1C1D316C"/>
    <w:rsid w:val="1C200EAE"/>
    <w:rsid w:val="1C76287C"/>
    <w:rsid w:val="1C843630"/>
    <w:rsid w:val="1CF71C0F"/>
    <w:rsid w:val="1CFF2872"/>
    <w:rsid w:val="1D4604A0"/>
    <w:rsid w:val="1D8A4831"/>
    <w:rsid w:val="1DDC197B"/>
    <w:rsid w:val="1E2F362A"/>
    <w:rsid w:val="1E731769"/>
    <w:rsid w:val="1EC92637"/>
    <w:rsid w:val="1EE22B35"/>
    <w:rsid w:val="1EEA12FF"/>
    <w:rsid w:val="1F15637C"/>
    <w:rsid w:val="1F2C545F"/>
    <w:rsid w:val="1F470500"/>
    <w:rsid w:val="1F5A46D7"/>
    <w:rsid w:val="20407429"/>
    <w:rsid w:val="204C0D7D"/>
    <w:rsid w:val="20BD452B"/>
    <w:rsid w:val="20BF5AA4"/>
    <w:rsid w:val="20FB77F4"/>
    <w:rsid w:val="215F198B"/>
    <w:rsid w:val="21D16F50"/>
    <w:rsid w:val="22031056"/>
    <w:rsid w:val="2237485C"/>
    <w:rsid w:val="224C47AB"/>
    <w:rsid w:val="22FE5379"/>
    <w:rsid w:val="233F27B5"/>
    <w:rsid w:val="236773C3"/>
    <w:rsid w:val="23927629"/>
    <w:rsid w:val="23A14683"/>
    <w:rsid w:val="24280900"/>
    <w:rsid w:val="24681644"/>
    <w:rsid w:val="24933A68"/>
    <w:rsid w:val="24B03B5D"/>
    <w:rsid w:val="24D57369"/>
    <w:rsid w:val="252279FA"/>
    <w:rsid w:val="254A1E44"/>
    <w:rsid w:val="26881B2A"/>
    <w:rsid w:val="26D47839"/>
    <w:rsid w:val="26D94133"/>
    <w:rsid w:val="26E42A1F"/>
    <w:rsid w:val="274719E5"/>
    <w:rsid w:val="276A59DB"/>
    <w:rsid w:val="27AB1F74"/>
    <w:rsid w:val="287A36F4"/>
    <w:rsid w:val="289C7B0E"/>
    <w:rsid w:val="29274EED"/>
    <w:rsid w:val="29341AF5"/>
    <w:rsid w:val="29980ADF"/>
    <w:rsid w:val="29E17ECF"/>
    <w:rsid w:val="29EE2168"/>
    <w:rsid w:val="2A214DAC"/>
    <w:rsid w:val="2A2D4EC2"/>
    <w:rsid w:val="2A594A62"/>
    <w:rsid w:val="2A842608"/>
    <w:rsid w:val="2B4C1378"/>
    <w:rsid w:val="2B5C440A"/>
    <w:rsid w:val="2B6366C1"/>
    <w:rsid w:val="2B6761B2"/>
    <w:rsid w:val="2B763ED1"/>
    <w:rsid w:val="2B77111E"/>
    <w:rsid w:val="2BAB22D1"/>
    <w:rsid w:val="2BF967C7"/>
    <w:rsid w:val="2C732934"/>
    <w:rsid w:val="2D406CBA"/>
    <w:rsid w:val="2D5269EE"/>
    <w:rsid w:val="2D6942A6"/>
    <w:rsid w:val="2D8C338A"/>
    <w:rsid w:val="2DCD17F8"/>
    <w:rsid w:val="2E277E7A"/>
    <w:rsid w:val="2EAB7223"/>
    <w:rsid w:val="2EDE2C2F"/>
    <w:rsid w:val="2F283EAA"/>
    <w:rsid w:val="2F307202"/>
    <w:rsid w:val="2F5702EB"/>
    <w:rsid w:val="2F6F3887"/>
    <w:rsid w:val="2FF26266"/>
    <w:rsid w:val="300D096E"/>
    <w:rsid w:val="30542A7D"/>
    <w:rsid w:val="30C60521"/>
    <w:rsid w:val="31CB7FBB"/>
    <w:rsid w:val="31D9592F"/>
    <w:rsid w:val="322345F6"/>
    <w:rsid w:val="325D030E"/>
    <w:rsid w:val="326F6063"/>
    <w:rsid w:val="32AB107A"/>
    <w:rsid w:val="32C97FB6"/>
    <w:rsid w:val="33024560"/>
    <w:rsid w:val="335B5AF2"/>
    <w:rsid w:val="336B0809"/>
    <w:rsid w:val="33B45D0C"/>
    <w:rsid w:val="34256C0A"/>
    <w:rsid w:val="345E036E"/>
    <w:rsid w:val="346C3B06"/>
    <w:rsid w:val="346C4839"/>
    <w:rsid w:val="34825E0A"/>
    <w:rsid w:val="348A2F11"/>
    <w:rsid w:val="349F4C0E"/>
    <w:rsid w:val="34C24459"/>
    <w:rsid w:val="351A5A93"/>
    <w:rsid w:val="353C06AF"/>
    <w:rsid w:val="353F3CFB"/>
    <w:rsid w:val="35951B6D"/>
    <w:rsid w:val="35EF5721"/>
    <w:rsid w:val="36291C9D"/>
    <w:rsid w:val="369D13B4"/>
    <w:rsid w:val="36D6068F"/>
    <w:rsid w:val="36DB3EF8"/>
    <w:rsid w:val="371B2546"/>
    <w:rsid w:val="372431A9"/>
    <w:rsid w:val="37516089"/>
    <w:rsid w:val="38593326"/>
    <w:rsid w:val="386B4E07"/>
    <w:rsid w:val="388A34DF"/>
    <w:rsid w:val="38EF3C8A"/>
    <w:rsid w:val="3958538C"/>
    <w:rsid w:val="39A67F8B"/>
    <w:rsid w:val="39C631C5"/>
    <w:rsid w:val="39D7459C"/>
    <w:rsid w:val="3A744447"/>
    <w:rsid w:val="3A751F6D"/>
    <w:rsid w:val="3A9E0272"/>
    <w:rsid w:val="3AFB6916"/>
    <w:rsid w:val="3B227D64"/>
    <w:rsid w:val="3B2E2848"/>
    <w:rsid w:val="3B392F9B"/>
    <w:rsid w:val="3B3D6F2F"/>
    <w:rsid w:val="3B862684"/>
    <w:rsid w:val="3B9823B7"/>
    <w:rsid w:val="3BD553B9"/>
    <w:rsid w:val="3C047C26"/>
    <w:rsid w:val="3C461E13"/>
    <w:rsid w:val="3C4833A9"/>
    <w:rsid w:val="3CA56B3A"/>
    <w:rsid w:val="3CB21257"/>
    <w:rsid w:val="3CB360C6"/>
    <w:rsid w:val="3CB705F5"/>
    <w:rsid w:val="3D170CA1"/>
    <w:rsid w:val="3D232155"/>
    <w:rsid w:val="3DB57F3D"/>
    <w:rsid w:val="3DBC0787"/>
    <w:rsid w:val="3E153ECC"/>
    <w:rsid w:val="3E4B1963"/>
    <w:rsid w:val="3E5F3F0C"/>
    <w:rsid w:val="3E9055C8"/>
    <w:rsid w:val="3EB5502E"/>
    <w:rsid w:val="3EE944E0"/>
    <w:rsid w:val="3F273270"/>
    <w:rsid w:val="3F966C0E"/>
    <w:rsid w:val="401447D2"/>
    <w:rsid w:val="40251D40"/>
    <w:rsid w:val="40295CD4"/>
    <w:rsid w:val="403703F1"/>
    <w:rsid w:val="40721429"/>
    <w:rsid w:val="40BC08F6"/>
    <w:rsid w:val="40F77B80"/>
    <w:rsid w:val="4125649B"/>
    <w:rsid w:val="41596145"/>
    <w:rsid w:val="421502BE"/>
    <w:rsid w:val="422C2522"/>
    <w:rsid w:val="425D3812"/>
    <w:rsid w:val="42BA4CD2"/>
    <w:rsid w:val="42D55C9F"/>
    <w:rsid w:val="42F5175C"/>
    <w:rsid w:val="43EA39CC"/>
    <w:rsid w:val="442567B2"/>
    <w:rsid w:val="447A5E15"/>
    <w:rsid w:val="447F2366"/>
    <w:rsid w:val="457A3A4D"/>
    <w:rsid w:val="45965BB9"/>
    <w:rsid w:val="45A31C7C"/>
    <w:rsid w:val="460C5E7C"/>
    <w:rsid w:val="46113492"/>
    <w:rsid w:val="461A0599"/>
    <w:rsid w:val="46366A55"/>
    <w:rsid w:val="463827CD"/>
    <w:rsid w:val="463A4797"/>
    <w:rsid w:val="46470C62"/>
    <w:rsid w:val="465D66D7"/>
    <w:rsid w:val="469D1441"/>
    <w:rsid w:val="46C60C8F"/>
    <w:rsid w:val="473531B0"/>
    <w:rsid w:val="47961EA1"/>
    <w:rsid w:val="47DC362C"/>
    <w:rsid w:val="47DD7AD0"/>
    <w:rsid w:val="48463914"/>
    <w:rsid w:val="48D013E2"/>
    <w:rsid w:val="49284D7B"/>
    <w:rsid w:val="4944592C"/>
    <w:rsid w:val="49D96075"/>
    <w:rsid w:val="4A0B4EFC"/>
    <w:rsid w:val="4A267713"/>
    <w:rsid w:val="4A325785"/>
    <w:rsid w:val="4AAE12AF"/>
    <w:rsid w:val="4AAE7FA1"/>
    <w:rsid w:val="4AB14DCF"/>
    <w:rsid w:val="4ABC6B72"/>
    <w:rsid w:val="4B144269"/>
    <w:rsid w:val="4B49547C"/>
    <w:rsid w:val="4B6978CC"/>
    <w:rsid w:val="4B775B45"/>
    <w:rsid w:val="4B961525"/>
    <w:rsid w:val="4BC02530"/>
    <w:rsid w:val="4C6C1422"/>
    <w:rsid w:val="4C993F91"/>
    <w:rsid w:val="4CA7245A"/>
    <w:rsid w:val="4CF03E01"/>
    <w:rsid w:val="4D2C0BB1"/>
    <w:rsid w:val="4DFB177A"/>
    <w:rsid w:val="4E031912"/>
    <w:rsid w:val="4E127DA7"/>
    <w:rsid w:val="4E323FA5"/>
    <w:rsid w:val="4E3658F7"/>
    <w:rsid w:val="4E3C3076"/>
    <w:rsid w:val="4ECE6166"/>
    <w:rsid w:val="4F057870"/>
    <w:rsid w:val="4F1B342E"/>
    <w:rsid w:val="4F66600B"/>
    <w:rsid w:val="4FB8672C"/>
    <w:rsid w:val="501326BA"/>
    <w:rsid w:val="50543177"/>
    <w:rsid w:val="509176A9"/>
    <w:rsid w:val="50EF2622"/>
    <w:rsid w:val="51905E35"/>
    <w:rsid w:val="51A63B5A"/>
    <w:rsid w:val="51A861C8"/>
    <w:rsid w:val="52102850"/>
    <w:rsid w:val="52102E2E"/>
    <w:rsid w:val="52555220"/>
    <w:rsid w:val="526D3D56"/>
    <w:rsid w:val="528D20F2"/>
    <w:rsid w:val="529A65BD"/>
    <w:rsid w:val="52C52E2D"/>
    <w:rsid w:val="52DC2732"/>
    <w:rsid w:val="52EF0099"/>
    <w:rsid w:val="5302488E"/>
    <w:rsid w:val="53310CD0"/>
    <w:rsid w:val="53844041"/>
    <w:rsid w:val="538D4F3E"/>
    <w:rsid w:val="53A92F5C"/>
    <w:rsid w:val="53BB4A3D"/>
    <w:rsid w:val="5410069F"/>
    <w:rsid w:val="54180F40"/>
    <w:rsid w:val="547F5812"/>
    <w:rsid w:val="54AE6D02"/>
    <w:rsid w:val="54B733AF"/>
    <w:rsid w:val="55676C2B"/>
    <w:rsid w:val="556A04C9"/>
    <w:rsid w:val="567C50EF"/>
    <w:rsid w:val="56B20311"/>
    <w:rsid w:val="56BA5480"/>
    <w:rsid w:val="56E67995"/>
    <w:rsid w:val="56F939F3"/>
    <w:rsid w:val="570F1328"/>
    <w:rsid w:val="571166BB"/>
    <w:rsid w:val="57C91245"/>
    <w:rsid w:val="59280EAF"/>
    <w:rsid w:val="59450AEA"/>
    <w:rsid w:val="594F1EAF"/>
    <w:rsid w:val="595219A0"/>
    <w:rsid w:val="597745F1"/>
    <w:rsid w:val="5A0233C6"/>
    <w:rsid w:val="5A7B0A82"/>
    <w:rsid w:val="5A7D0C9E"/>
    <w:rsid w:val="5B1433B1"/>
    <w:rsid w:val="5B3663E0"/>
    <w:rsid w:val="5BB71BBE"/>
    <w:rsid w:val="5BDE121A"/>
    <w:rsid w:val="5BF62AB6"/>
    <w:rsid w:val="5C761E49"/>
    <w:rsid w:val="5CA66F59"/>
    <w:rsid w:val="5CBB5D44"/>
    <w:rsid w:val="5D1F7F3B"/>
    <w:rsid w:val="5D5F468B"/>
    <w:rsid w:val="5DBC388C"/>
    <w:rsid w:val="5DFF7AD9"/>
    <w:rsid w:val="5E281158"/>
    <w:rsid w:val="5E431B6F"/>
    <w:rsid w:val="5EEB540E"/>
    <w:rsid w:val="5F011E9E"/>
    <w:rsid w:val="5F3F29C6"/>
    <w:rsid w:val="5F610B8F"/>
    <w:rsid w:val="5FB46F10"/>
    <w:rsid w:val="5FD0361E"/>
    <w:rsid w:val="5FEC48FC"/>
    <w:rsid w:val="60065292"/>
    <w:rsid w:val="60413BFC"/>
    <w:rsid w:val="610619ED"/>
    <w:rsid w:val="611539DF"/>
    <w:rsid w:val="612B3202"/>
    <w:rsid w:val="61354081"/>
    <w:rsid w:val="61412A26"/>
    <w:rsid w:val="62257C51"/>
    <w:rsid w:val="6239194F"/>
    <w:rsid w:val="627961EF"/>
    <w:rsid w:val="628F77C1"/>
    <w:rsid w:val="62A577C3"/>
    <w:rsid w:val="62BC5FD6"/>
    <w:rsid w:val="62DE2526"/>
    <w:rsid w:val="62E775FD"/>
    <w:rsid w:val="63181564"/>
    <w:rsid w:val="63A1155A"/>
    <w:rsid w:val="63D62D45"/>
    <w:rsid w:val="64155AA4"/>
    <w:rsid w:val="646F1658"/>
    <w:rsid w:val="648053BF"/>
    <w:rsid w:val="64A0163A"/>
    <w:rsid w:val="64B87A09"/>
    <w:rsid w:val="65493B2E"/>
    <w:rsid w:val="660202AA"/>
    <w:rsid w:val="66157FDD"/>
    <w:rsid w:val="66A00B1A"/>
    <w:rsid w:val="66A75FC5"/>
    <w:rsid w:val="66E300DB"/>
    <w:rsid w:val="6750233B"/>
    <w:rsid w:val="67512F25"/>
    <w:rsid w:val="67666F7C"/>
    <w:rsid w:val="67977337"/>
    <w:rsid w:val="67DC5256"/>
    <w:rsid w:val="68275C64"/>
    <w:rsid w:val="68490412"/>
    <w:rsid w:val="68581CEC"/>
    <w:rsid w:val="686314D3"/>
    <w:rsid w:val="6908207B"/>
    <w:rsid w:val="690B56C7"/>
    <w:rsid w:val="69232A11"/>
    <w:rsid w:val="692F585A"/>
    <w:rsid w:val="69CA7330"/>
    <w:rsid w:val="6A060AF0"/>
    <w:rsid w:val="6A5A06B4"/>
    <w:rsid w:val="6A932228"/>
    <w:rsid w:val="6A95793E"/>
    <w:rsid w:val="6AA656A7"/>
    <w:rsid w:val="6ADB7A47"/>
    <w:rsid w:val="6AF136B5"/>
    <w:rsid w:val="6B0D5727"/>
    <w:rsid w:val="6B563571"/>
    <w:rsid w:val="6B731601"/>
    <w:rsid w:val="6BA918F3"/>
    <w:rsid w:val="6BED17F6"/>
    <w:rsid w:val="6C7A503E"/>
    <w:rsid w:val="6C7F558B"/>
    <w:rsid w:val="6CC779C6"/>
    <w:rsid w:val="6CDA2891"/>
    <w:rsid w:val="6D433682"/>
    <w:rsid w:val="6DAA1953"/>
    <w:rsid w:val="6DE97A14"/>
    <w:rsid w:val="6E01724F"/>
    <w:rsid w:val="6E0472B5"/>
    <w:rsid w:val="6E0B217F"/>
    <w:rsid w:val="6E160D9A"/>
    <w:rsid w:val="6E4C0C5C"/>
    <w:rsid w:val="6E7A2E4F"/>
    <w:rsid w:val="6ECD58F9"/>
    <w:rsid w:val="6F0D3EAF"/>
    <w:rsid w:val="6F410095"/>
    <w:rsid w:val="6FCC3E02"/>
    <w:rsid w:val="6FD75554"/>
    <w:rsid w:val="700D7F77"/>
    <w:rsid w:val="70785D38"/>
    <w:rsid w:val="709A3F00"/>
    <w:rsid w:val="70A46B2D"/>
    <w:rsid w:val="70AC5255"/>
    <w:rsid w:val="70D6480D"/>
    <w:rsid w:val="71184267"/>
    <w:rsid w:val="71FF4644"/>
    <w:rsid w:val="723170A6"/>
    <w:rsid w:val="72D32F00"/>
    <w:rsid w:val="73223D39"/>
    <w:rsid w:val="734939BC"/>
    <w:rsid w:val="73AB1F81"/>
    <w:rsid w:val="73C117A4"/>
    <w:rsid w:val="74275AAB"/>
    <w:rsid w:val="74381A66"/>
    <w:rsid w:val="74546174"/>
    <w:rsid w:val="746A5998"/>
    <w:rsid w:val="74C06305"/>
    <w:rsid w:val="750A405E"/>
    <w:rsid w:val="753F0BD2"/>
    <w:rsid w:val="75530B22"/>
    <w:rsid w:val="75703008"/>
    <w:rsid w:val="759C1D5A"/>
    <w:rsid w:val="76143E0D"/>
    <w:rsid w:val="76253251"/>
    <w:rsid w:val="76B80C3C"/>
    <w:rsid w:val="76BA0E58"/>
    <w:rsid w:val="76F459ED"/>
    <w:rsid w:val="76FF686B"/>
    <w:rsid w:val="777208E7"/>
    <w:rsid w:val="777C7EBC"/>
    <w:rsid w:val="77A25449"/>
    <w:rsid w:val="77F42148"/>
    <w:rsid w:val="78224970"/>
    <w:rsid w:val="78654DF4"/>
    <w:rsid w:val="78713799"/>
    <w:rsid w:val="78C31B1A"/>
    <w:rsid w:val="78E73A5B"/>
    <w:rsid w:val="798412AA"/>
    <w:rsid w:val="79907C4E"/>
    <w:rsid w:val="79986240"/>
    <w:rsid w:val="799A287B"/>
    <w:rsid w:val="79A47B9E"/>
    <w:rsid w:val="7A2B7977"/>
    <w:rsid w:val="7A4B0019"/>
    <w:rsid w:val="7A5C5D83"/>
    <w:rsid w:val="7AA8721A"/>
    <w:rsid w:val="7AF70A9C"/>
    <w:rsid w:val="7B22521E"/>
    <w:rsid w:val="7BD227A0"/>
    <w:rsid w:val="7BDA78A7"/>
    <w:rsid w:val="7C06069C"/>
    <w:rsid w:val="7C0E12FE"/>
    <w:rsid w:val="7CA22801"/>
    <w:rsid w:val="7CA659DB"/>
    <w:rsid w:val="7D142945"/>
    <w:rsid w:val="7D3C67CA"/>
    <w:rsid w:val="7D553689"/>
    <w:rsid w:val="7D760F0D"/>
    <w:rsid w:val="7DE50961"/>
    <w:rsid w:val="7DF06F0E"/>
    <w:rsid w:val="7E6D67B0"/>
    <w:rsid w:val="7E955D07"/>
    <w:rsid w:val="7F604567"/>
    <w:rsid w:val="7F623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pPr>
    <w:rPr>
      <w:rFonts w:eastAsia="仿宋" w:asciiTheme="minorHAnsi" w:hAnsiTheme="minorHAnsi" w:cstheme="minorBidi"/>
      <w:kern w:val="2"/>
      <w:sz w:val="24"/>
      <w:szCs w:val="22"/>
      <w:lang w:val="en-US" w:eastAsia="zh-CN" w:bidi="ar-SA"/>
    </w:rPr>
  </w:style>
  <w:style w:type="paragraph" w:styleId="2">
    <w:name w:val="heading 2"/>
    <w:basedOn w:val="1"/>
    <w:next w:val="1"/>
    <w:link w:val="30"/>
    <w:unhideWhenUsed/>
    <w:qFormat/>
    <w:uiPriority w:val="0"/>
    <w:pPr>
      <w:keepNext/>
      <w:keepLines/>
      <w:spacing w:before="260" w:after="260" w:line="416" w:lineRule="auto"/>
      <w:jc w:val="both"/>
      <w:outlineLvl w:val="1"/>
    </w:pPr>
    <w:rPr>
      <w:rFonts w:ascii="Cambria" w:hAnsi="Cambria" w:eastAsia="宋体" w:cs="Times New Roman"/>
      <w:b/>
      <w:bCs/>
      <w:sz w:val="32"/>
      <w:szCs w:val="32"/>
    </w:rPr>
  </w:style>
  <w:style w:type="paragraph" w:styleId="3">
    <w:name w:val="heading 3"/>
    <w:basedOn w:val="1"/>
    <w:next w:val="1"/>
    <w:link w:val="29"/>
    <w:unhideWhenUsed/>
    <w:qFormat/>
    <w:uiPriority w:val="0"/>
    <w:pPr>
      <w:keepNext/>
      <w:keepLines/>
      <w:spacing w:before="260" w:after="260" w:line="416" w:lineRule="auto"/>
      <w:jc w:val="both"/>
      <w:outlineLvl w:val="2"/>
    </w:pPr>
    <w:rPr>
      <w:rFonts w:ascii="Arial" w:hAnsi="Arial" w:eastAsia="仿宋_GB2312"/>
      <w:b/>
      <w:bCs/>
      <w:sz w:val="32"/>
      <w:szCs w:val="32"/>
    </w:rPr>
  </w:style>
  <w:style w:type="paragraph" w:styleId="4">
    <w:name w:val="heading 4"/>
    <w:basedOn w:val="1"/>
    <w:next w:val="1"/>
    <w:link w:val="19"/>
    <w:unhideWhenUsed/>
    <w:qFormat/>
    <w:uiPriority w:val="9"/>
    <w:pPr>
      <w:keepNext/>
      <w:keepLines/>
      <w:outlineLvl w:val="3"/>
    </w:pPr>
    <w:rPr>
      <w:rFonts w:eastAsia="宋体" w:asciiTheme="majorHAnsi" w:hAnsiTheme="majorHAnsi" w:cstheme="majorBidi"/>
      <w:b/>
      <w:bCs/>
      <w:szCs w:val="28"/>
    </w:rPr>
  </w:style>
  <w:style w:type="paragraph" w:styleId="5">
    <w:name w:val="heading 5"/>
    <w:basedOn w:val="1"/>
    <w:next w:val="1"/>
    <w:link w:val="20"/>
    <w:unhideWhenUsed/>
    <w:qFormat/>
    <w:uiPriority w:val="9"/>
    <w:pPr>
      <w:keepNext/>
      <w:keepLines/>
      <w:outlineLvl w:val="4"/>
    </w:pPr>
    <w:rPr>
      <w:rFonts w:eastAsia="宋体"/>
      <w:b/>
      <w:bCs/>
      <w:szCs w:val="28"/>
    </w:rPr>
  </w:style>
  <w:style w:type="paragraph" w:styleId="6">
    <w:name w:val="heading 6"/>
    <w:basedOn w:val="1"/>
    <w:next w:val="1"/>
    <w:link w:val="21"/>
    <w:unhideWhenUsed/>
    <w:qFormat/>
    <w:uiPriority w:val="9"/>
    <w:pPr>
      <w:keepNext/>
      <w:keepLines/>
      <w:numPr>
        <w:ilvl w:val="3"/>
        <w:numId w:val="1"/>
      </w:numPr>
      <w:outlineLvl w:val="5"/>
    </w:pPr>
    <w:rPr>
      <w:rFonts w:asciiTheme="majorHAnsi" w:hAnsiTheme="majorHAnsi" w:cstheme="majorBidi"/>
      <w:b/>
      <w:bCs/>
      <w:szCs w:val="24"/>
    </w:rPr>
  </w:style>
  <w:style w:type="paragraph" w:styleId="7">
    <w:name w:val="heading 7"/>
    <w:basedOn w:val="1"/>
    <w:next w:val="1"/>
    <w:link w:val="22"/>
    <w:unhideWhenUsed/>
    <w:qFormat/>
    <w:uiPriority w:val="9"/>
    <w:pPr>
      <w:keepNext/>
      <w:keepLines/>
      <w:numPr>
        <w:ilvl w:val="4"/>
        <w:numId w:val="1"/>
      </w:numPr>
      <w:spacing w:before="240" w:after="64" w:line="320" w:lineRule="auto"/>
      <w:outlineLvl w:val="6"/>
    </w:pPr>
    <w:rPr>
      <w:b/>
      <w:bCs/>
      <w:szCs w:val="24"/>
    </w:rPr>
  </w:style>
  <w:style w:type="paragraph" w:styleId="8">
    <w:name w:val="heading 8"/>
    <w:basedOn w:val="1"/>
    <w:next w:val="1"/>
    <w:link w:val="23"/>
    <w:unhideWhenUsed/>
    <w:qFormat/>
    <w:uiPriority w:val="9"/>
    <w:pPr>
      <w:keepNext/>
      <w:keepLines/>
      <w:numPr>
        <w:ilvl w:val="5"/>
        <w:numId w:val="1"/>
      </w:numPr>
      <w:spacing w:before="240" w:after="64" w:line="320" w:lineRule="auto"/>
      <w:outlineLvl w:val="7"/>
    </w:pPr>
    <w:rPr>
      <w:rFonts w:asciiTheme="majorHAnsi" w:hAnsiTheme="majorHAnsi" w:eastAsiaTheme="majorEastAsia" w:cstheme="majorBidi"/>
      <w:szCs w:val="24"/>
    </w:rPr>
  </w:style>
  <w:style w:type="paragraph" w:styleId="9">
    <w:name w:val="heading 9"/>
    <w:basedOn w:val="1"/>
    <w:next w:val="1"/>
    <w:link w:val="24"/>
    <w:unhideWhenUsed/>
    <w:qFormat/>
    <w:uiPriority w:val="9"/>
    <w:pPr>
      <w:keepNext/>
      <w:keepLines/>
      <w:numPr>
        <w:ilvl w:val="6"/>
        <w:numId w:val="1"/>
      </w:numPr>
      <w:spacing w:before="240" w:after="64" w:line="320" w:lineRule="auto"/>
      <w:outlineLvl w:val="8"/>
    </w:pPr>
    <w:rPr>
      <w:rFonts w:asciiTheme="majorHAnsi" w:hAnsiTheme="majorHAnsi" w:eastAsiaTheme="majorEastAsia" w:cstheme="majorBidi"/>
      <w:szCs w:val="21"/>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0">
    <w:name w:val="annotation text"/>
    <w:basedOn w:val="1"/>
    <w:link w:val="28"/>
    <w:qFormat/>
    <w:uiPriority w:val="99"/>
    <w:pPr>
      <w:spacing w:line="240" w:lineRule="auto"/>
    </w:pPr>
    <w:rPr>
      <w:rFonts w:ascii="Times New Roman" w:hAnsi="Times New Roman" w:eastAsia="宋体" w:cs="Times New Roman"/>
      <w:sz w:val="21"/>
      <w:szCs w:val="24"/>
    </w:rPr>
  </w:style>
  <w:style w:type="paragraph" w:styleId="11">
    <w:name w:val="footer"/>
    <w:basedOn w:val="1"/>
    <w:link w:val="25"/>
    <w:unhideWhenUsed/>
    <w:qFormat/>
    <w:uiPriority w:val="0"/>
    <w:pPr>
      <w:tabs>
        <w:tab w:val="center" w:pos="4153"/>
        <w:tab w:val="right" w:pos="8306"/>
      </w:tabs>
      <w:snapToGrid w:val="0"/>
    </w:pPr>
    <w:rPr>
      <w:sz w:val="18"/>
      <w:szCs w:val="18"/>
    </w:rPr>
  </w:style>
  <w:style w:type="paragraph" w:styleId="12">
    <w:name w:val="header"/>
    <w:basedOn w:val="1"/>
    <w:link w:val="33"/>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3">
    <w:name w:val="annotation subject"/>
    <w:basedOn w:val="10"/>
    <w:next w:val="10"/>
    <w:link w:val="35"/>
    <w:semiHidden/>
    <w:unhideWhenUsed/>
    <w:qFormat/>
    <w:uiPriority w:val="99"/>
    <w:pPr>
      <w:spacing w:line="360" w:lineRule="auto"/>
    </w:pPr>
    <w:rPr>
      <w:rFonts w:eastAsia="仿宋" w:asciiTheme="minorHAnsi" w:hAnsiTheme="minorHAnsi" w:cstheme="minorBidi"/>
      <w:b/>
      <w:bCs/>
      <w:sz w:val="24"/>
      <w:szCs w:val="22"/>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annotation reference"/>
    <w:qFormat/>
    <w:uiPriority w:val="99"/>
    <w:rPr>
      <w:sz w:val="21"/>
      <w:szCs w:val="21"/>
    </w:rPr>
  </w:style>
  <w:style w:type="paragraph" w:customStyle="1" w:styleId="18">
    <w:name w:val="表格文字"/>
    <w:basedOn w:val="1"/>
    <w:qFormat/>
    <w:uiPriority w:val="0"/>
    <w:pPr>
      <w:spacing w:before="25" w:after="25"/>
      <w:jc w:val="left"/>
    </w:pPr>
    <w:rPr>
      <w:bCs/>
      <w:spacing w:val="10"/>
      <w:kern w:val="0"/>
      <w:sz w:val="24"/>
    </w:rPr>
  </w:style>
  <w:style w:type="character" w:customStyle="1" w:styleId="19">
    <w:name w:val="标题 4 字符"/>
    <w:basedOn w:val="16"/>
    <w:link w:val="4"/>
    <w:qFormat/>
    <w:uiPriority w:val="9"/>
    <w:rPr>
      <w:rFonts w:eastAsia="宋体" w:asciiTheme="majorHAnsi" w:hAnsiTheme="majorHAnsi" w:cstheme="majorBidi"/>
      <w:b/>
      <w:bCs/>
      <w:sz w:val="24"/>
      <w:szCs w:val="28"/>
    </w:rPr>
  </w:style>
  <w:style w:type="character" w:customStyle="1" w:styleId="20">
    <w:name w:val="标题 5 字符"/>
    <w:basedOn w:val="16"/>
    <w:link w:val="5"/>
    <w:qFormat/>
    <w:uiPriority w:val="9"/>
    <w:rPr>
      <w:rFonts w:eastAsia="宋体"/>
      <w:b/>
      <w:bCs/>
      <w:sz w:val="24"/>
      <w:szCs w:val="28"/>
    </w:rPr>
  </w:style>
  <w:style w:type="character" w:customStyle="1" w:styleId="21">
    <w:name w:val="标题 6 字符"/>
    <w:basedOn w:val="16"/>
    <w:link w:val="6"/>
    <w:qFormat/>
    <w:uiPriority w:val="0"/>
    <w:rPr>
      <w:rFonts w:eastAsia="仿宋" w:asciiTheme="majorHAnsi" w:hAnsiTheme="majorHAnsi" w:cstheme="majorBidi"/>
      <w:b/>
      <w:bCs/>
      <w:sz w:val="24"/>
      <w:szCs w:val="24"/>
    </w:rPr>
  </w:style>
  <w:style w:type="character" w:customStyle="1" w:styleId="22">
    <w:name w:val="标题 7 字符"/>
    <w:basedOn w:val="16"/>
    <w:link w:val="7"/>
    <w:qFormat/>
    <w:uiPriority w:val="0"/>
    <w:rPr>
      <w:rFonts w:eastAsia="仿宋"/>
      <w:b/>
      <w:bCs/>
      <w:sz w:val="24"/>
      <w:szCs w:val="24"/>
    </w:rPr>
  </w:style>
  <w:style w:type="character" w:customStyle="1" w:styleId="23">
    <w:name w:val="标题 8 字符"/>
    <w:basedOn w:val="16"/>
    <w:link w:val="8"/>
    <w:qFormat/>
    <w:uiPriority w:val="0"/>
    <w:rPr>
      <w:rFonts w:asciiTheme="majorHAnsi" w:hAnsiTheme="majorHAnsi" w:eastAsiaTheme="majorEastAsia" w:cstheme="majorBidi"/>
      <w:sz w:val="24"/>
      <w:szCs w:val="24"/>
    </w:rPr>
  </w:style>
  <w:style w:type="character" w:customStyle="1" w:styleId="24">
    <w:name w:val="标题 9 字符"/>
    <w:basedOn w:val="16"/>
    <w:link w:val="9"/>
    <w:qFormat/>
    <w:uiPriority w:val="9"/>
    <w:rPr>
      <w:rFonts w:asciiTheme="majorHAnsi" w:hAnsiTheme="majorHAnsi" w:eastAsiaTheme="majorEastAsia" w:cstheme="majorBidi"/>
      <w:sz w:val="24"/>
      <w:szCs w:val="21"/>
    </w:rPr>
  </w:style>
  <w:style w:type="character" w:customStyle="1" w:styleId="25">
    <w:name w:val="页脚 字符"/>
    <w:basedOn w:val="16"/>
    <w:link w:val="11"/>
    <w:qFormat/>
    <w:uiPriority w:val="0"/>
    <w:rPr>
      <w:rFonts w:eastAsia="仿宋"/>
      <w:sz w:val="18"/>
      <w:szCs w:val="18"/>
    </w:rPr>
  </w:style>
  <w:style w:type="paragraph" w:styleId="26">
    <w:name w:val="List Paragraph"/>
    <w:basedOn w:val="1"/>
    <w:link w:val="27"/>
    <w:qFormat/>
    <w:uiPriority w:val="34"/>
    <w:pPr>
      <w:spacing w:line="240" w:lineRule="auto"/>
      <w:ind w:firstLine="420"/>
      <w:jc w:val="both"/>
    </w:pPr>
    <w:rPr>
      <w:rFonts w:eastAsiaTheme="minorEastAsia"/>
      <w:sz w:val="21"/>
    </w:rPr>
  </w:style>
  <w:style w:type="character" w:customStyle="1" w:styleId="27">
    <w:name w:val="列表段落 字符"/>
    <w:link w:val="26"/>
    <w:qFormat/>
    <w:uiPriority w:val="34"/>
  </w:style>
  <w:style w:type="character" w:customStyle="1" w:styleId="28">
    <w:name w:val="批注文字 字符"/>
    <w:basedOn w:val="16"/>
    <w:link w:val="10"/>
    <w:qFormat/>
    <w:uiPriority w:val="99"/>
    <w:rPr>
      <w:rFonts w:ascii="Times New Roman" w:hAnsi="Times New Roman" w:eastAsia="宋体" w:cs="Times New Roman"/>
      <w:szCs w:val="24"/>
    </w:rPr>
  </w:style>
  <w:style w:type="character" w:customStyle="1" w:styleId="29">
    <w:name w:val="标题 3 字符"/>
    <w:basedOn w:val="16"/>
    <w:link w:val="3"/>
    <w:qFormat/>
    <w:uiPriority w:val="0"/>
    <w:rPr>
      <w:rFonts w:ascii="Arial" w:hAnsi="Arial" w:eastAsia="仿宋_GB2312"/>
      <w:b/>
      <w:bCs/>
      <w:sz w:val="32"/>
      <w:szCs w:val="32"/>
    </w:rPr>
  </w:style>
  <w:style w:type="character" w:customStyle="1" w:styleId="30">
    <w:name w:val="标题 2 字符"/>
    <w:basedOn w:val="16"/>
    <w:link w:val="2"/>
    <w:qFormat/>
    <w:uiPriority w:val="0"/>
    <w:rPr>
      <w:rFonts w:ascii="Cambria" w:hAnsi="Cambria" w:eastAsia="宋体" w:cs="Times New Roman"/>
      <w:b/>
      <w:bCs/>
      <w:sz w:val="32"/>
      <w:szCs w:val="32"/>
    </w:rPr>
  </w:style>
  <w:style w:type="character" w:customStyle="1" w:styleId="31">
    <w:name w:val="Default Char"/>
    <w:link w:val="32"/>
    <w:qFormat/>
    <w:uiPriority w:val="0"/>
    <w:rPr>
      <w:rFonts w:ascii="宋体" w:cs="宋体"/>
      <w:color w:val="000000"/>
    </w:rPr>
  </w:style>
  <w:style w:type="paragraph" w:customStyle="1" w:styleId="32">
    <w:name w:val="Default"/>
    <w:link w:val="31"/>
    <w:qFormat/>
    <w:uiPriority w:val="0"/>
    <w:pPr>
      <w:widowControl w:val="0"/>
      <w:autoSpaceDE w:val="0"/>
      <w:autoSpaceDN w:val="0"/>
      <w:adjustRightInd w:val="0"/>
    </w:pPr>
    <w:rPr>
      <w:rFonts w:ascii="宋体" w:cs="宋体" w:hAnsiTheme="minorHAnsi" w:eastAsiaTheme="minorEastAsia"/>
      <w:color w:val="000000"/>
      <w:kern w:val="2"/>
      <w:sz w:val="21"/>
      <w:szCs w:val="22"/>
      <w:lang w:val="en-US" w:eastAsia="zh-CN" w:bidi="ar-SA"/>
    </w:rPr>
  </w:style>
  <w:style w:type="character" w:customStyle="1" w:styleId="33">
    <w:name w:val="页眉 字符"/>
    <w:basedOn w:val="16"/>
    <w:link w:val="12"/>
    <w:qFormat/>
    <w:uiPriority w:val="99"/>
    <w:rPr>
      <w:rFonts w:eastAsia="仿宋"/>
      <w:sz w:val="18"/>
      <w:szCs w:val="18"/>
    </w:rPr>
  </w:style>
  <w:style w:type="paragraph" w:customStyle="1" w:styleId="34">
    <w:name w:val="Revision"/>
    <w:hidden/>
    <w:semiHidden/>
    <w:qFormat/>
    <w:uiPriority w:val="99"/>
    <w:rPr>
      <w:rFonts w:eastAsia="仿宋" w:asciiTheme="minorHAnsi" w:hAnsiTheme="minorHAnsi" w:cstheme="minorBidi"/>
      <w:kern w:val="2"/>
      <w:sz w:val="24"/>
      <w:szCs w:val="22"/>
      <w:lang w:val="en-US" w:eastAsia="zh-CN" w:bidi="ar-SA"/>
    </w:rPr>
  </w:style>
  <w:style w:type="character" w:customStyle="1" w:styleId="35">
    <w:name w:val="批注主题 字符"/>
    <w:basedOn w:val="28"/>
    <w:link w:val="13"/>
    <w:semiHidden/>
    <w:qFormat/>
    <w:uiPriority w:val="99"/>
    <w:rPr>
      <w:rFonts w:ascii="Times New Roman" w:hAnsi="Times New Roman" w:eastAsia="仿宋" w:cs="Times New Roman"/>
      <w:b/>
      <w:bCs/>
      <w:sz w:val="24"/>
      <w:szCs w:val="24"/>
    </w:rPr>
  </w:style>
  <w:style w:type="table" w:customStyle="1" w:styleId="36">
    <w:name w:val="网格型1"/>
    <w:basedOn w:val="14"/>
    <w:qFormat/>
    <w:uiPriority w:val="5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
    <w:name w:val="网格型2"/>
    <w:basedOn w:val="14"/>
    <w:qFormat/>
    <w:uiPriority w:val="5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
    <w:name w:val="网格型3"/>
    <w:basedOn w:val="14"/>
    <w:qFormat/>
    <w:uiPriority w:val="5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
    <w:name w:val="网格型4"/>
    <w:basedOn w:val="14"/>
    <w:qFormat/>
    <w:uiPriority w:val="5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
    <w:name w:val="网格型5"/>
    <w:basedOn w:val="14"/>
    <w:qFormat/>
    <w:uiPriority w:val="5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7E5E56-FF72-4DA2-982E-B9D25099EF54}">
  <ds:schemaRefs/>
</ds:datastoreItem>
</file>

<file path=docProps/app.xml><?xml version="1.0" encoding="utf-8"?>
<Properties xmlns="http://schemas.openxmlformats.org/officeDocument/2006/extended-properties" xmlns:vt="http://schemas.openxmlformats.org/officeDocument/2006/docPropsVTypes">
  <Template>Normal</Template>
  <Pages>4</Pages>
  <Words>3479</Words>
  <Characters>3512</Characters>
  <Lines>160</Lines>
  <Paragraphs>157</Paragraphs>
  <TotalTime>29</TotalTime>
  <ScaleCrop>false</ScaleCrop>
  <LinksUpToDate>false</LinksUpToDate>
  <CharactersWithSpaces>3514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2026-01-06T01:58:00Z</dcterms:created>
  <dc:creator>hushuyun</dc:creator>
  <cp:lastModifiedBy>我爱熊猫</cp:lastModifiedBy>
  <dcterms:modified xsi:type="dcterms:W3CDTF">2026-05-06T08:46:03Z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eyJoZGlkIjoiYzRlYzk2ZGE4ZTc3YmQ2YzUwOTE0NThjY2Q0NjA3YjEiLCJ1c2VySWQiOiIyMzc0MzQyMjEifQ==</vt:lpwstr>
  </property>
  <property fmtid="{D5CDD505-2E9C-101B-9397-08002B2CF9AE}" pid="3" name="KSOProductBuildVer">
    <vt:lpwstr>2052-12.1.0.25865</vt:lpwstr>
  </property>
  <property fmtid="{D5CDD505-2E9C-101B-9397-08002B2CF9AE}" pid="4" name="ICV">
    <vt:lpwstr>3341D1E310A54993A5392AD90BBB883A_13</vt:lpwstr>
  </property>
</Properties>
</file>