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DFC8B">
      <w:pPr>
        <w:pStyle w:val="2"/>
        <w:widowControl/>
        <w:wordWrap w:val="0"/>
        <w:spacing w:beforeAutospacing="0" w:afterAutospacing="0"/>
        <w:jc w:val="center"/>
        <w:rPr>
          <w:rFonts w:hint="default" w:eastAsia="方正小标宋简体" w:cs="方正小标宋简体" w:asciiTheme="minorHAnsi" w:hAnsiTheme="minorHAnsi"/>
          <w:color w:val="000000"/>
          <w:sz w:val="44"/>
          <w:szCs w:val="44"/>
        </w:rPr>
      </w:pPr>
      <w:r>
        <w:rPr>
          <w:rFonts w:ascii="方正小标宋简体" w:hAnsi="方正小标宋简体" w:eastAsia="方正小标宋简体" w:cs="方正小标宋简体"/>
          <w:color w:val="000000"/>
          <w:sz w:val="44"/>
          <w:szCs w:val="44"/>
        </w:rPr>
        <w:t>过敏性鼻炎多中心管理系统</w:t>
      </w:r>
    </w:p>
    <w:p w14:paraId="51A3B2F1">
      <w:pPr>
        <w:pStyle w:val="2"/>
        <w:widowControl/>
        <w:wordWrap w:val="0"/>
        <w:spacing w:beforeAutospacing="0" w:afterAutospacing="0"/>
        <w:jc w:val="center"/>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采购需求</w:t>
      </w:r>
    </w:p>
    <w:p w14:paraId="3DBD854B">
      <w:pPr>
        <w:numPr>
          <w:ilvl w:val="0"/>
          <w:numId w:val="1"/>
        </w:numPr>
        <w:spacing w:line="5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项目概况</w:t>
      </w:r>
    </w:p>
    <w:p w14:paraId="2B15718F">
      <w:pPr>
        <w:numPr>
          <w:ilvl w:val="0"/>
          <w:numId w:val="2"/>
        </w:num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采购单位：</w:t>
      </w:r>
      <w:bookmarkStart w:id="0" w:name="OLE_LINK21"/>
      <w:r>
        <w:rPr>
          <w:rFonts w:hint="eastAsia" w:asciiTheme="minorEastAsia" w:hAnsiTheme="minorEastAsia" w:cstheme="minorEastAsia"/>
          <w:sz w:val="24"/>
        </w:rPr>
        <w:t>中山大学附属第一医院广西医院</w:t>
      </w:r>
      <w:bookmarkEnd w:id="0"/>
    </w:p>
    <w:p w14:paraId="58EFC1C2">
      <w:pPr>
        <w:numPr>
          <w:ilvl w:val="0"/>
          <w:numId w:val="2"/>
        </w:num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项目名称：过敏性鼻炎多中心管理系统项目 </w:t>
      </w:r>
    </w:p>
    <w:p w14:paraId="5A54078F">
      <w:pPr>
        <w:numPr>
          <w:ilvl w:val="0"/>
          <w:numId w:val="2"/>
        </w:num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地点：广西壮族自治区南宁市青秀区佛子岭路3号</w:t>
      </w:r>
    </w:p>
    <w:p w14:paraId="27593E07">
      <w:pPr>
        <w:numPr>
          <w:ilvl w:val="0"/>
          <w:numId w:val="2"/>
        </w:num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采购预算：45万</w:t>
      </w:r>
    </w:p>
    <w:p w14:paraId="428DA771">
      <w:pPr>
        <w:numPr>
          <w:ilvl w:val="0"/>
          <w:numId w:val="2"/>
        </w:num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采购上控价：</w:t>
      </w:r>
      <w:bookmarkStart w:id="1" w:name="_GoBack"/>
      <w:r>
        <w:rPr>
          <w:rFonts w:hint="eastAsia" w:asciiTheme="minorEastAsia" w:hAnsiTheme="minorEastAsia" w:cstheme="minorEastAsia"/>
          <w:sz w:val="24"/>
        </w:rPr>
        <w:t>44.5</w:t>
      </w:r>
      <w:bookmarkEnd w:id="1"/>
      <w:r>
        <w:rPr>
          <w:rFonts w:hint="eastAsia" w:asciiTheme="minorEastAsia" w:hAnsiTheme="minorEastAsia" w:cstheme="minorEastAsia"/>
          <w:sz w:val="24"/>
        </w:rPr>
        <w:t>万元</w:t>
      </w:r>
    </w:p>
    <w:p w14:paraId="7829F824">
      <w:pPr>
        <w:numPr>
          <w:ilvl w:val="0"/>
          <w:numId w:val="2"/>
        </w:num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采购方式：院内磋商</w:t>
      </w:r>
    </w:p>
    <w:p w14:paraId="4E736B7A">
      <w:pPr>
        <w:numPr>
          <w:ilvl w:val="0"/>
          <w:numId w:val="2"/>
        </w:numPr>
        <w:spacing w:line="520" w:lineRule="exact"/>
        <w:ind w:firstLine="480" w:firstLineChars="200"/>
        <w:rPr>
          <w:rFonts w:eastAsia="宋体" w:asciiTheme="minorEastAsia" w:hAnsiTheme="minorEastAsia" w:cstheme="minorEastAsia"/>
          <w:sz w:val="24"/>
        </w:rPr>
      </w:pPr>
      <w:r>
        <w:rPr>
          <w:rFonts w:hint="eastAsia" w:asciiTheme="minorEastAsia" w:hAnsiTheme="minorEastAsia" w:cstheme="minorEastAsia"/>
          <w:sz w:val="24"/>
        </w:rPr>
        <w:t>服务期限：采购合同签订之日起90个日历日完成项目全部建设内容并交付上线。免费质保维护期不少于1年，自验收合格之日起算。</w:t>
      </w:r>
    </w:p>
    <w:p w14:paraId="0F8B337F">
      <w:pPr>
        <w:numPr>
          <w:ilvl w:val="0"/>
          <w:numId w:val="1"/>
        </w:numPr>
        <w:spacing w:line="5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资质要求</w:t>
      </w:r>
    </w:p>
    <w:p w14:paraId="2C44B7EC">
      <w:pPr>
        <w:numPr>
          <w:ilvl w:val="0"/>
          <w:numId w:val="3"/>
        </w:numPr>
        <w:spacing w:line="520" w:lineRule="exact"/>
        <w:ind w:firstLine="560"/>
        <w:rPr>
          <w:rFonts w:asciiTheme="minorEastAsia" w:hAnsiTheme="minorEastAsia" w:cstheme="minorEastAsia"/>
          <w:sz w:val="24"/>
        </w:rPr>
      </w:pPr>
      <w:r>
        <w:rPr>
          <w:rFonts w:hint="eastAsia" w:asciiTheme="minorEastAsia" w:hAnsiTheme="minorEastAsia" w:cstheme="minorEastAsia"/>
          <w:sz w:val="24"/>
        </w:rPr>
        <w:t>具有国内独立法人资格，注册经营范围满足本项目内容的供应商。</w:t>
      </w:r>
    </w:p>
    <w:p w14:paraId="180A810A">
      <w:pPr>
        <w:pStyle w:val="4"/>
        <w:spacing w:line="360" w:lineRule="auto"/>
        <w:ind w:left="0" w:leftChars="0" w:firstLine="636" w:firstLineChars="265"/>
        <w:rPr>
          <w:rFonts w:eastAsia="宋体"/>
        </w:rPr>
      </w:pPr>
      <w:r>
        <w:rPr>
          <w:rFonts w:hint="eastAsia" w:asciiTheme="minorEastAsia" w:hAnsiTheme="minorEastAsia" w:cstheme="minorEastAsia"/>
          <w:sz w:val="24"/>
        </w:rPr>
        <w:t>（二）对在“信用中国”网（www.creditchina.gov.cn）、中国政府采购网（www.ccgp.gov.cn）等渠道列入失信被执行人、重大税收违法案件当事人名单、政府采购严重违法失信行为记录名单及其他不符合《中华人民共和国政府采购法》第二十二条规定条件的供应商，拒绝参与本项目活动（提供网页查询截图并加盖公章）。</w:t>
      </w:r>
    </w:p>
    <w:p w14:paraId="221C73F6">
      <w:pPr>
        <w:spacing w:line="520" w:lineRule="exact"/>
        <w:ind w:left="630"/>
        <w:rPr>
          <w:rFonts w:asciiTheme="minorEastAsia" w:hAnsiTheme="minorEastAsia" w:cstheme="minorEastAsia"/>
          <w:sz w:val="24"/>
        </w:rPr>
      </w:pPr>
      <w:r>
        <w:rPr>
          <w:rFonts w:hint="eastAsia" w:asciiTheme="minorEastAsia" w:hAnsiTheme="minorEastAsia" w:cstheme="minorEastAsia"/>
          <w:sz w:val="24"/>
        </w:rPr>
        <w:t>（三）本项目不接受联合体报名。</w:t>
      </w:r>
    </w:p>
    <w:p w14:paraId="11D0130B">
      <w:pPr>
        <w:pStyle w:val="4"/>
      </w:pPr>
    </w:p>
    <w:p w14:paraId="5BFFA5F7"/>
    <w:p w14:paraId="51A3B2F2">
      <w:pPr>
        <w:pStyle w:val="10"/>
        <w:widowControl/>
        <w:wordWrap w:val="0"/>
        <w:spacing w:beforeAutospacing="0" w:afterAutospacing="0"/>
        <w:jc w:val="both"/>
        <w:rPr>
          <w:rStyle w:val="14"/>
          <w:rFonts w:ascii="Times New Roman" w:hAnsi="Times New Roman" w:eastAsia="宋体" w:cs="宋体"/>
          <w:color w:val="000000"/>
          <w:shd w:val="clear" w:color="auto" w:fill="FFFFFF"/>
        </w:rPr>
      </w:pPr>
      <w:r>
        <w:rPr>
          <w:rStyle w:val="14"/>
          <w:rFonts w:hint="eastAsia" w:ascii="Times New Roman" w:hAnsi="Times New Roman" w:eastAsia="宋体" w:cs="宋体"/>
          <w:color w:val="000000"/>
          <w:shd w:val="clear" w:color="auto" w:fill="FFFFFF"/>
        </w:rPr>
        <w:t>一、系统业务功能参数</w:t>
      </w:r>
    </w:p>
    <w:p w14:paraId="06ACF614">
      <w:pPr>
        <w:snapToGrid w:val="0"/>
        <w:spacing w:line="360" w:lineRule="auto"/>
        <w:ind w:left="738" w:leftChars="204" w:hanging="310" w:hangingChars="147"/>
        <w:rPr>
          <w:rFonts w:eastAsia="宋体"/>
        </w:rPr>
      </w:pPr>
      <w:r>
        <w:rPr>
          <w:rFonts w:hint="eastAsia" w:ascii="宋体" w:hAnsi="宋体"/>
          <w:b/>
          <w:bCs/>
          <w:color w:val="000000"/>
        </w:rPr>
        <w:t>带“★”号的参数内容为重要要求和条件。</w:t>
      </w:r>
    </w:p>
    <w:p w14:paraId="4CE65877">
      <w:pPr>
        <w:pStyle w:val="10"/>
        <w:widowControl/>
        <w:wordWrap w:val="0"/>
        <w:spacing w:beforeAutospacing="0" w:afterAutospacing="0"/>
        <w:jc w:val="both"/>
        <w:rPr>
          <w:rStyle w:val="14"/>
          <w:rFonts w:ascii="Times New Roman" w:hAnsi="Times New Roman" w:eastAsia="宋体" w:cs="宋体"/>
          <w:color w:val="000000"/>
          <w:shd w:val="clear" w:color="auto" w:fill="FFFFFF"/>
        </w:rPr>
      </w:pP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310"/>
        <w:gridCol w:w="6049"/>
      </w:tblGrid>
      <w:tr w14:paraId="51A3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1" w:type="pct"/>
            <w:shd w:val="clear" w:color="000000" w:fill="auto"/>
            <w:vAlign w:val="center"/>
          </w:tcPr>
          <w:p w14:paraId="51A3B2F3">
            <w:pPr>
              <w:spacing w:before="120" w:after="120"/>
              <w:ind w:left="57" w:right="57"/>
              <w:jc w:val="center"/>
              <w:rPr>
                <w:rFonts w:ascii="Times New Roman" w:hAnsi="Times New Roman" w:eastAsia="宋体" w:cs="宋体"/>
                <w:b/>
                <w:bCs/>
                <w:color w:val="000000"/>
                <w:kern w:val="0"/>
                <w:sz w:val="24"/>
              </w:rPr>
            </w:pPr>
            <w:r>
              <w:rPr>
                <w:rFonts w:hint="eastAsia" w:ascii="Times New Roman" w:hAnsi="Times New Roman" w:eastAsia="宋体" w:cs="宋体"/>
                <w:b/>
                <w:bCs/>
                <w:color w:val="000000"/>
                <w:kern w:val="0"/>
                <w:sz w:val="24"/>
              </w:rPr>
              <w:t>主参数</w:t>
            </w:r>
          </w:p>
        </w:tc>
        <w:tc>
          <w:tcPr>
            <w:tcW w:w="769" w:type="pct"/>
            <w:shd w:val="clear" w:color="000000" w:fill="auto"/>
            <w:vAlign w:val="center"/>
          </w:tcPr>
          <w:p w14:paraId="51A3B2F4">
            <w:pPr>
              <w:spacing w:before="120" w:after="120"/>
              <w:ind w:left="57" w:right="57"/>
              <w:jc w:val="center"/>
              <w:rPr>
                <w:rFonts w:ascii="Times New Roman" w:hAnsi="Times New Roman" w:eastAsia="宋体" w:cs="宋体"/>
                <w:b/>
                <w:bCs/>
                <w:color w:val="000000"/>
                <w:kern w:val="0"/>
                <w:sz w:val="24"/>
              </w:rPr>
            </w:pPr>
            <w:r>
              <w:rPr>
                <w:rFonts w:hint="eastAsia" w:ascii="Times New Roman" w:hAnsi="Times New Roman" w:eastAsia="宋体" w:cs="宋体"/>
                <w:b/>
                <w:bCs/>
                <w:color w:val="000000"/>
                <w:kern w:val="0"/>
                <w:sz w:val="24"/>
              </w:rPr>
              <w:t>二级参数分类</w:t>
            </w:r>
          </w:p>
        </w:tc>
        <w:tc>
          <w:tcPr>
            <w:tcW w:w="3550" w:type="pct"/>
            <w:shd w:val="clear" w:color="000000" w:fill="auto"/>
            <w:vAlign w:val="center"/>
          </w:tcPr>
          <w:p w14:paraId="51A3B2F5">
            <w:pPr>
              <w:spacing w:before="120" w:after="120"/>
              <w:ind w:left="57" w:right="57"/>
              <w:jc w:val="center"/>
              <w:rPr>
                <w:rFonts w:ascii="Times New Roman" w:hAnsi="Times New Roman" w:eastAsia="宋体" w:cs="宋体"/>
                <w:b/>
                <w:bCs/>
                <w:color w:val="000000"/>
                <w:kern w:val="0"/>
                <w:sz w:val="24"/>
              </w:rPr>
            </w:pPr>
            <w:r>
              <w:rPr>
                <w:rFonts w:hint="eastAsia" w:ascii="Times New Roman" w:hAnsi="Times New Roman" w:eastAsia="宋体" w:cs="宋体"/>
                <w:b/>
                <w:bCs/>
                <w:color w:val="000000"/>
                <w:kern w:val="0"/>
                <w:sz w:val="24"/>
              </w:rPr>
              <w:t>参数要求</w:t>
            </w:r>
          </w:p>
        </w:tc>
      </w:tr>
      <w:tr w14:paraId="51A3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1" w:type="pct"/>
            <w:vAlign w:val="center"/>
          </w:tcPr>
          <w:p w14:paraId="51A3B2F7">
            <w:pPr>
              <w:spacing w:before="120" w:after="120"/>
              <w:ind w:left="57" w:right="57"/>
              <w:rPr>
                <w:rFonts w:ascii="Times New Roman" w:hAnsi="Times New Roman" w:eastAsia="宋体" w:cs="宋体"/>
                <w:color w:val="000000"/>
                <w:kern w:val="0"/>
                <w:sz w:val="24"/>
              </w:rPr>
            </w:pPr>
            <w:r>
              <w:rPr>
                <w:rFonts w:hint="eastAsia" w:ascii="Times New Roman" w:hAnsi="Times New Roman" w:eastAsia="宋体" w:cs="宋体"/>
                <w:color w:val="000000"/>
                <w:kern w:val="0"/>
                <w:sz w:val="24"/>
              </w:rPr>
              <w:t>1功能研发模块</w:t>
            </w:r>
          </w:p>
        </w:tc>
        <w:tc>
          <w:tcPr>
            <w:tcW w:w="769" w:type="pct"/>
            <w:vAlign w:val="center"/>
          </w:tcPr>
          <w:p w14:paraId="51A3B2F8">
            <w:pPr>
              <w:spacing w:before="120" w:after="120"/>
              <w:ind w:left="57" w:right="57"/>
              <w:textAlignment w:val="center"/>
              <w:rPr>
                <w:rFonts w:ascii="Times New Roman" w:hAnsi="Times New Roman" w:eastAsia="宋体" w:cs="宋体"/>
                <w:color w:val="000000"/>
                <w:sz w:val="24"/>
              </w:rPr>
            </w:pPr>
            <w:r>
              <w:rPr>
                <w:rFonts w:hint="eastAsia" w:ascii="Times New Roman" w:hAnsi="Times New Roman" w:eastAsia="宋体" w:cs="宋体"/>
                <w:color w:val="000000"/>
                <w:sz w:val="24"/>
              </w:rPr>
              <w:t xml:space="preserve">1.1 </w:t>
            </w:r>
            <w:r>
              <w:rPr>
                <w:rFonts w:ascii="Times New Roman" w:hAnsi="Times New Roman" w:eastAsia="宋体" w:cs="宋体"/>
                <w:color w:val="000000"/>
                <w:sz w:val="24"/>
              </w:rPr>
              <w:t>多中心随访管理平台架构</w:t>
            </w:r>
          </w:p>
        </w:tc>
        <w:tc>
          <w:tcPr>
            <w:tcW w:w="3550" w:type="pct"/>
            <w:vAlign w:val="center"/>
          </w:tcPr>
          <w:p w14:paraId="51A3B2FD">
            <w:pPr>
              <w:spacing w:before="120" w:after="120"/>
              <w:ind w:left="57" w:right="57"/>
              <w:jc w:val="left"/>
              <w:textAlignment w:val="center"/>
            </w:pPr>
            <w:r>
              <w:rPr>
                <w:rFonts w:hint="eastAsia" w:ascii="宋体" w:hAnsi="宋体"/>
                <w:b/>
                <w:bCs/>
                <w:color w:val="000000"/>
              </w:rPr>
              <w:t>★</w:t>
            </w:r>
            <w:r>
              <w:rPr>
                <w:rFonts w:ascii="Times New Roman" w:hAnsi="Times New Roman" w:eastAsia="宋体" w:cs="宋体"/>
                <w:color w:val="000000"/>
                <w:kern w:val="0"/>
                <w:sz w:val="24"/>
              </w:rPr>
              <w:t>本系统</w:t>
            </w:r>
            <w:r>
              <w:rPr>
                <w:rFonts w:hint="eastAsia" w:ascii="Times New Roman" w:hAnsi="Times New Roman" w:eastAsia="宋体" w:cs="宋体"/>
                <w:color w:val="000000"/>
                <w:kern w:val="0"/>
                <w:sz w:val="24"/>
              </w:rPr>
              <w:t>应具备</w:t>
            </w:r>
            <w:r>
              <w:rPr>
                <w:rFonts w:ascii="Times New Roman" w:hAnsi="Times New Roman" w:eastAsia="宋体" w:cs="宋体"/>
                <w:color w:val="000000"/>
                <w:kern w:val="0"/>
                <w:sz w:val="24"/>
              </w:rPr>
              <w:t>多中心过敏性气道疾病随访管理</w:t>
            </w:r>
            <w:r>
              <w:rPr>
                <w:rFonts w:hint="eastAsia" w:ascii="Times New Roman" w:hAnsi="Times New Roman" w:eastAsia="宋体" w:cs="宋体"/>
                <w:color w:val="000000"/>
                <w:kern w:val="0"/>
                <w:sz w:val="24"/>
              </w:rPr>
              <w:t>功能</w:t>
            </w:r>
            <w:r>
              <w:rPr>
                <w:rFonts w:ascii="Times New Roman" w:hAnsi="Times New Roman" w:eastAsia="宋体" w:cs="宋体"/>
                <w:color w:val="000000"/>
                <w:kern w:val="0"/>
                <w:sz w:val="24"/>
              </w:rPr>
              <w:t>。系统设计应支持在无需预先对接各参与中心复杂异构医院信息系统和电子病历系统的情况下实现快速部署，从而支持跨机构患者长期随访和科研数据整合，降低技术门槛与多中心协作成本。系统应能够支持多中心研究场景，并在保证系统功能和数据管理质量的前提下，通过合理的系统架构设计降低整体运营成本。</w:t>
            </w:r>
          </w:p>
        </w:tc>
      </w:tr>
      <w:tr w14:paraId="51A3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1" w:type="pct"/>
            <w:vMerge w:val="restart"/>
            <w:vAlign w:val="center"/>
          </w:tcPr>
          <w:p w14:paraId="51A3B311">
            <w:pPr>
              <w:spacing w:before="120" w:after="120"/>
              <w:ind w:left="57" w:right="57"/>
              <w:textAlignment w:val="center"/>
              <w:rPr>
                <w:rFonts w:ascii="Times New Roman" w:hAnsi="Times New Roman" w:eastAsia="宋体" w:cs="宋体"/>
                <w:color w:val="000000"/>
                <w:sz w:val="24"/>
              </w:rPr>
            </w:pPr>
            <w:r>
              <w:rPr>
                <w:rFonts w:hint="eastAsia" w:ascii="Times New Roman" w:hAnsi="Times New Roman" w:eastAsia="宋体" w:cs="宋体"/>
                <w:color w:val="000000"/>
                <w:sz w:val="24"/>
              </w:rPr>
              <w:t>2</w:t>
            </w:r>
            <w:r>
              <w:rPr>
                <w:rFonts w:ascii="Times New Roman" w:hAnsi="Times New Roman" w:eastAsia="宋体" w:cs="宋体"/>
                <w:color w:val="000000"/>
                <w:sz w:val="24"/>
              </w:rPr>
              <w:t>数据采集与录入模块</w:t>
            </w:r>
          </w:p>
        </w:tc>
        <w:tc>
          <w:tcPr>
            <w:tcW w:w="769" w:type="pct"/>
            <w:vAlign w:val="center"/>
          </w:tcPr>
          <w:p w14:paraId="51A3B312">
            <w:pPr>
              <w:spacing w:before="120" w:after="120"/>
              <w:ind w:left="57" w:right="57"/>
              <w:textAlignment w:val="center"/>
              <w:rPr>
                <w:rFonts w:ascii="Times New Roman" w:hAnsi="Times New Roman" w:eastAsia="宋体" w:cs="宋体"/>
                <w:color w:val="000000"/>
                <w:sz w:val="24"/>
              </w:rPr>
            </w:pPr>
            <w:r>
              <w:rPr>
                <w:rFonts w:hint="eastAsia" w:ascii="Times New Roman" w:hAnsi="Times New Roman" w:eastAsia="宋体" w:cs="宋体"/>
                <w:color w:val="000000"/>
                <w:sz w:val="24"/>
              </w:rPr>
              <w:t>2.1</w:t>
            </w:r>
            <w:r>
              <w:rPr>
                <w:rFonts w:ascii="Times New Roman" w:hAnsi="Times New Roman" w:eastAsia="宋体" w:cs="宋体"/>
                <w:color w:val="000000"/>
                <w:sz w:val="24"/>
              </w:rPr>
              <w:t>患者入组与数据采集</w:t>
            </w:r>
          </w:p>
        </w:tc>
        <w:tc>
          <w:tcPr>
            <w:tcW w:w="3550" w:type="pct"/>
            <w:vAlign w:val="center"/>
          </w:tcPr>
          <w:p w14:paraId="51A3B313">
            <w:pPr>
              <w:spacing w:before="120" w:after="120"/>
              <w:ind w:left="57" w:right="57"/>
              <w:textAlignment w:val="center"/>
              <w:rPr>
                <w:rFonts w:ascii="Times New Roman" w:hAnsi="Times New Roman" w:eastAsia="宋体" w:cs="宋体"/>
                <w:color w:val="000000"/>
                <w:sz w:val="24"/>
              </w:rPr>
            </w:pPr>
            <w:r>
              <w:rPr>
                <w:rFonts w:hint="eastAsia" w:ascii="宋体" w:hAnsi="宋体"/>
                <w:b/>
                <w:bCs/>
                <w:color w:val="000000"/>
              </w:rPr>
              <w:t>★</w:t>
            </w:r>
            <w:r>
              <w:rPr>
                <w:rFonts w:ascii="Times New Roman" w:hAnsi="Times New Roman" w:eastAsia="宋体" w:cs="宋体"/>
                <w:color w:val="000000"/>
                <w:sz w:val="24"/>
              </w:rPr>
              <w:t>系统应提供患者信息采集与研究入组功能。患者可通过关注微信公众号，并扫描研究提供的专属入组二维码完成初步信息登记，从而进入研究队列。该模块作为系统前端入口，应支持患者基本信息填写，并支持患者参与后续随访和健康管理流程。</w:t>
            </w:r>
          </w:p>
        </w:tc>
      </w:tr>
      <w:tr w14:paraId="51A3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1" w:type="pct"/>
            <w:vMerge w:val="continue"/>
            <w:vAlign w:val="center"/>
          </w:tcPr>
          <w:p w14:paraId="51A3B315">
            <w:pPr>
              <w:spacing w:before="120" w:after="120"/>
              <w:ind w:left="57" w:right="57"/>
              <w:textAlignment w:val="center"/>
              <w:rPr>
                <w:rFonts w:ascii="Times New Roman" w:hAnsi="Times New Roman" w:eastAsia="宋体" w:cs="宋体"/>
                <w:color w:val="000000"/>
                <w:sz w:val="24"/>
              </w:rPr>
            </w:pPr>
          </w:p>
        </w:tc>
        <w:tc>
          <w:tcPr>
            <w:tcW w:w="769" w:type="pct"/>
            <w:vAlign w:val="center"/>
          </w:tcPr>
          <w:p w14:paraId="51A3B316">
            <w:pPr>
              <w:spacing w:before="120" w:after="120"/>
              <w:ind w:left="57" w:right="57"/>
              <w:textAlignment w:val="center"/>
              <w:rPr>
                <w:rFonts w:ascii="Times New Roman" w:hAnsi="Times New Roman" w:eastAsia="宋体" w:cs="宋体"/>
                <w:color w:val="000000"/>
                <w:sz w:val="24"/>
              </w:rPr>
            </w:pPr>
            <w:r>
              <w:rPr>
                <w:rFonts w:hint="eastAsia" w:ascii="Times New Roman" w:hAnsi="Times New Roman" w:eastAsia="宋体" w:cs="宋体"/>
                <w:color w:val="000000"/>
                <w:sz w:val="24"/>
              </w:rPr>
              <w:t>2.2</w:t>
            </w:r>
            <w:r>
              <w:rPr>
                <w:rFonts w:ascii="Times New Roman" w:hAnsi="Times New Roman" w:eastAsia="宋体" w:cs="宋体"/>
                <w:color w:val="000000"/>
                <w:sz w:val="24"/>
              </w:rPr>
              <w:t>随访问卷管理</w:t>
            </w:r>
          </w:p>
        </w:tc>
        <w:tc>
          <w:tcPr>
            <w:tcW w:w="3550" w:type="pct"/>
            <w:vAlign w:val="center"/>
          </w:tcPr>
          <w:p w14:paraId="51A3B31A">
            <w:pPr>
              <w:spacing w:before="120" w:after="120"/>
              <w:ind w:left="57" w:right="57"/>
              <w:textAlignment w:val="center"/>
              <w:rPr>
                <w:rFonts w:ascii="Times New Roman" w:hAnsi="Times New Roman" w:eastAsia="宋体" w:cs="宋体"/>
                <w:color w:val="000000"/>
                <w:sz w:val="24"/>
              </w:rPr>
            </w:pPr>
            <w:r>
              <w:rPr>
                <w:rFonts w:hint="eastAsia" w:ascii="宋体" w:hAnsi="宋体"/>
                <w:b/>
                <w:bCs/>
                <w:color w:val="000000"/>
              </w:rPr>
              <w:t>★</w:t>
            </w:r>
            <w:r>
              <w:rPr>
                <w:rFonts w:ascii="Times New Roman" w:hAnsi="Times New Roman" w:eastAsia="宋体" w:cs="宋体"/>
                <w:color w:val="000000"/>
                <w:sz w:val="24"/>
              </w:rPr>
              <w:t>系统应支持根据预设随访计划，通过微信公众号模板消息自动、定期向患者推送结构化随访问卷，以持续收集患者关键健康信息。随访数据应包括症状变化情况、用药情况、生活质量指标以及日常健康管理相关数据。该机制应支持低干预、持续性的患者数据采集模式，在不增加患者额外负担的情况下实现长期随访，并支持真实世界研究数据积累。</w:t>
            </w:r>
          </w:p>
        </w:tc>
      </w:tr>
      <w:tr w14:paraId="51A3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1" w:type="pct"/>
            <w:vMerge w:val="restart"/>
            <w:vAlign w:val="center"/>
          </w:tcPr>
          <w:p w14:paraId="51A3B35D">
            <w:pPr>
              <w:spacing w:before="120" w:after="120"/>
              <w:ind w:left="57" w:right="57"/>
              <w:jc w:val="left"/>
              <w:rPr>
                <w:rFonts w:ascii="Times New Roman" w:hAnsi="Times New Roman" w:eastAsia="宋体" w:cs="宋体"/>
                <w:color w:val="000000"/>
                <w:kern w:val="0"/>
                <w:sz w:val="24"/>
              </w:rPr>
            </w:pPr>
            <w:r>
              <w:rPr>
                <w:rFonts w:hint="eastAsia" w:ascii="Times New Roman" w:hAnsi="Times New Roman" w:eastAsia="宋体" w:cs="宋体"/>
                <w:color w:val="000000"/>
                <w:kern w:val="0"/>
                <w:sz w:val="24"/>
              </w:rPr>
              <w:t>3</w:t>
            </w:r>
            <w:r>
              <w:rPr>
                <w:rFonts w:ascii="Times New Roman" w:hAnsi="Times New Roman" w:eastAsia="宋体" w:cs="宋体"/>
                <w:color w:val="000000"/>
                <w:kern w:val="0"/>
                <w:sz w:val="24"/>
              </w:rPr>
              <w:t>中央数据库与数据处理模块</w:t>
            </w:r>
          </w:p>
        </w:tc>
        <w:tc>
          <w:tcPr>
            <w:tcW w:w="769" w:type="pct"/>
            <w:vAlign w:val="center"/>
          </w:tcPr>
          <w:p w14:paraId="51A3B35E">
            <w:pPr>
              <w:spacing w:before="120" w:after="120"/>
              <w:ind w:left="57" w:right="57"/>
              <w:rPr>
                <w:rFonts w:ascii="Times New Roman" w:hAnsi="Times New Roman" w:eastAsia="宋体" w:cs="宋体"/>
                <w:color w:val="000000"/>
                <w:kern w:val="0"/>
                <w:sz w:val="24"/>
              </w:rPr>
            </w:pPr>
            <w:r>
              <w:rPr>
                <w:rFonts w:ascii="Times New Roman" w:hAnsi="Times New Roman" w:eastAsia="宋体" w:cs="宋体"/>
                <w:color w:val="000000"/>
                <w:kern w:val="0"/>
                <w:sz w:val="24"/>
              </w:rPr>
              <w:t>3.1 数据存储与管理</w:t>
            </w:r>
          </w:p>
        </w:tc>
        <w:tc>
          <w:tcPr>
            <w:tcW w:w="3550" w:type="pct"/>
            <w:vAlign w:val="center"/>
          </w:tcPr>
          <w:p w14:paraId="51A3B377">
            <w:pPr>
              <w:spacing w:before="120" w:after="120"/>
              <w:ind w:left="57" w:right="57"/>
              <w:rPr>
                <w:rFonts w:ascii="Times New Roman" w:hAnsi="Times New Roman" w:eastAsia="宋体" w:cs="宋体"/>
                <w:color w:val="000000"/>
                <w:kern w:val="0"/>
                <w:sz w:val="24"/>
              </w:rPr>
            </w:pPr>
            <w:r>
              <w:rPr>
                <w:rFonts w:ascii="Times New Roman" w:hAnsi="Times New Roman" w:eastAsia="宋体" w:cs="宋体"/>
                <w:color w:val="000000"/>
                <w:kern w:val="0"/>
                <w:sz w:val="24"/>
              </w:rPr>
              <w:t>系统应建立统一中央数据库，用于安全存储来自各研究中心的脱敏化患者数据。数据库应支持患者随访数据的统一管理，并确保数据安全与隐私保护。</w:t>
            </w:r>
          </w:p>
        </w:tc>
      </w:tr>
      <w:tr w14:paraId="2A86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1" w:type="pct"/>
            <w:vMerge w:val="continue"/>
            <w:vAlign w:val="center"/>
          </w:tcPr>
          <w:p w14:paraId="439F3829">
            <w:pPr>
              <w:spacing w:before="120" w:after="120"/>
              <w:ind w:left="57" w:right="57"/>
              <w:jc w:val="left"/>
              <w:rPr>
                <w:rFonts w:ascii="Times New Roman" w:hAnsi="Times New Roman" w:eastAsia="宋体" w:cs="宋体"/>
                <w:color w:val="000000"/>
                <w:kern w:val="0"/>
                <w:sz w:val="24"/>
              </w:rPr>
            </w:pPr>
          </w:p>
        </w:tc>
        <w:tc>
          <w:tcPr>
            <w:tcW w:w="769" w:type="pct"/>
            <w:vAlign w:val="center"/>
          </w:tcPr>
          <w:p w14:paraId="4E3A468C">
            <w:pPr>
              <w:spacing w:before="120" w:after="120"/>
              <w:ind w:left="57" w:right="57"/>
              <w:rPr>
                <w:rFonts w:ascii="Times New Roman" w:hAnsi="Times New Roman" w:eastAsia="宋体" w:cs="宋体"/>
                <w:color w:val="000000"/>
                <w:kern w:val="0"/>
                <w:sz w:val="24"/>
              </w:rPr>
            </w:pPr>
            <w:r>
              <w:rPr>
                <w:rFonts w:ascii="Times New Roman" w:hAnsi="Times New Roman" w:eastAsia="宋体" w:cs="宋体"/>
                <w:color w:val="000000"/>
                <w:kern w:val="0"/>
                <w:sz w:val="24"/>
              </w:rPr>
              <w:t>3.2 数据处理与标准化</w:t>
            </w:r>
          </w:p>
        </w:tc>
        <w:tc>
          <w:tcPr>
            <w:tcW w:w="3550" w:type="pct"/>
            <w:vAlign w:val="center"/>
          </w:tcPr>
          <w:p w14:paraId="2CB157E8">
            <w:pPr>
              <w:spacing w:before="120" w:after="120"/>
              <w:ind w:left="57" w:right="57"/>
              <w:rPr>
                <w:rFonts w:ascii="Times New Roman" w:hAnsi="Times New Roman" w:eastAsia="宋体" w:cs="宋体"/>
                <w:color w:val="000000"/>
                <w:kern w:val="0"/>
                <w:sz w:val="24"/>
              </w:rPr>
            </w:pPr>
            <w:r>
              <w:rPr>
                <w:rFonts w:ascii="Times New Roman" w:hAnsi="Times New Roman" w:eastAsia="宋体" w:cs="宋体"/>
                <w:color w:val="000000"/>
                <w:kern w:val="0"/>
                <w:sz w:val="24"/>
              </w:rPr>
              <w:t>系统应内置数据处理引擎，实现随访数据的自动清洗、标准化和结构化处理，从而将原始随访信息转化为可用于科研分析的结构化数据。系统还应支持按疾病类型、研究中心和时间维度建立数据集，以便开展统计分析和科研研究。</w:t>
            </w:r>
          </w:p>
        </w:tc>
      </w:tr>
      <w:tr w14:paraId="51A3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1" w:type="pct"/>
            <w:vMerge w:val="restart"/>
            <w:vAlign w:val="center"/>
          </w:tcPr>
          <w:p w14:paraId="51A3B379">
            <w:pPr>
              <w:spacing w:before="120" w:after="120"/>
              <w:ind w:left="57" w:right="57"/>
              <w:jc w:val="left"/>
              <w:rPr>
                <w:rFonts w:ascii="Times New Roman" w:hAnsi="Times New Roman" w:eastAsia="宋体" w:cs="宋体"/>
                <w:color w:val="000000"/>
                <w:kern w:val="0"/>
                <w:sz w:val="24"/>
              </w:rPr>
            </w:pPr>
            <w:r>
              <w:rPr>
                <w:rFonts w:hint="eastAsia" w:ascii="Times New Roman" w:hAnsi="Times New Roman" w:eastAsia="宋体" w:cs="宋体"/>
                <w:color w:val="000000"/>
                <w:kern w:val="0"/>
                <w:sz w:val="24"/>
              </w:rPr>
              <w:t>4</w:t>
            </w:r>
            <w:r>
              <w:rPr>
                <w:rFonts w:ascii="Times New Roman" w:hAnsi="Times New Roman" w:eastAsia="宋体" w:cs="宋体"/>
                <w:color w:val="000000"/>
                <w:kern w:val="0"/>
                <w:sz w:val="24"/>
              </w:rPr>
              <w:t>数据调用与交互模块</w:t>
            </w:r>
          </w:p>
        </w:tc>
        <w:tc>
          <w:tcPr>
            <w:tcW w:w="769" w:type="pct"/>
            <w:vAlign w:val="center"/>
          </w:tcPr>
          <w:p w14:paraId="51A3B37A">
            <w:pPr>
              <w:spacing w:before="120" w:after="120"/>
              <w:ind w:left="57" w:right="57"/>
              <w:rPr>
                <w:rFonts w:ascii="Times New Roman" w:hAnsi="Times New Roman" w:eastAsia="宋体" w:cs="宋体"/>
                <w:color w:val="000000"/>
                <w:kern w:val="0"/>
                <w:sz w:val="24"/>
              </w:rPr>
            </w:pPr>
            <w:r>
              <w:rPr>
                <w:rFonts w:hint="eastAsia" w:ascii="Times New Roman" w:hAnsi="Times New Roman" w:eastAsia="宋体" w:cs="宋体"/>
                <w:color w:val="000000"/>
                <w:kern w:val="0"/>
                <w:sz w:val="24"/>
              </w:rPr>
              <w:t>4.1</w:t>
            </w:r>
            <w:r>
              <w:rPr>
                <w:rFonts w:ascii="Times New Roman" w:hAnsi="Times New Roman" w:eastAsia="宋体" w:cs="宋体"/>
                <w:color w:val="000000"/>
                <w:kern w:val="0"/>
                <w:sz w:val="24"/>
              </w:rPr>
              <w:t>医护与管理端</w:t>
            </w:r>
          </w:p>
        </w:tc>
        <w:tc>
          <w:tcPr>
            <w:tcW w:w="3550" w:type="pct"/>
            <w:vAlign w:val="center"/>
          </w:tcPr>
          <w:p w14:paraId="51A3B37F">
            <w:pPr>
              <w:spacing w:before="120" w:after="120"/>
              <w:ind w:left="57" w:right="57"/>
              <w:rPr>
                <w:rFonts w:ascii="Times New Roman" w:hAnsi="Times New Roman" w:eastAsia="宋体" w:cs="宋体"/>
                <w:color w:val="000000"/>
                <w:kern w:val="0"/>
                <w:sz w:val="24"/>
              </w:rPr>
            </w:pPr>
            <w:r>
              <w:rPr>
                <w:rFonts w:ascii="Times New Roman" w:hAnsi="Times New Roman" w:eastAsia="宋体" w:cs="宋体"/>
                <w:color w:val="000000"/>
                <w:kern w:val="0"/>
                <w:sz w:val="24"/>
              </w:rPr>
              <w:t>系统应提供Web管理后台供研究人员和临床医生访问。医护人员可通过Web或iPad管理界面查看患者随访数据、症状变化趋势以及统计分析结果。系统应支持生成可视化报表，如趋势图和依从性统计图，并支持异常数据提示，以协助医护人员进行患者管理与随访监测。</w:t>
            </w:r>
          </w:p>
        </w:tc>
      </w:tr>
      <w:tr w14:paraId="51A3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1" w:type="pct"/>
            <w:vMerge w:val="continue"/>
            <w:vAlign w:val="center"/>
          </w:tcPr>
          <w:p w14:paraId="51A3B381">
            <w:pPr>
              <w:spacing w:before="120" w:after="120"/>
              <w:ind w:left="57" w:right="57"/>
              <w:jc w:val="left"/>
              <w:rPr>
                <w:rFonts w:ascii="Times New Roman" w:hAnsi="Times New Roman" w:eastAsia="宋体" w:cs="宋体"/>
                <w:color w:val="000000"/>
                <w:kern w:val="0"/>
                <w:sz w:val="24"/>
              </w:rPr>
            </w:pPr>
          </w:p>
        </w:tc>
        <w:tc>
          <w:tcPr>
            <w:tcW w:w="769" w:type="pct"/>
            <w:vAlign w:val="center"/>
          </w:tcPr>
          <w:p w14:paraId="51A3B382">
            <w:pPr>
              <w:spacing w:before="120" w:after="120"/>
              <w:ind w:left="57" w:right="57"/>
              <w:rPr>
                <w:rFonts w:ascii="Times New Roman" w:hAnsi="Times New Roman" w:eastAsia="宋体" w:cs="宋体"/>
                <w:color w:val="000000"/>
                <w:kern w:val="0"/>
                <w:sz w:val="24"/>
              </w:rPr>
            </w:pPr>
            <w:r>
              <w:rPr>
                <w:rFonts w:hint="eastAsia" w:ascii="Times New Roman" w:hAnsi="Times New Roman" w:eastAsia="宋体" w:cs="宋体"/>
                <w:color w:val="000000"/>
                <w:kern w:val="0"/>
                <w:sz w:val="24"/>
              </w:rPr>
              <w:t>4.2</w:t>
            </w:r>
            <w:r>
              <w:rPr>
                <w:rFonts w:ascii="Times New Roman" w:hAnsi="Times New Roman" w:eastAsia="宋体" w:cs="宋体"/>
                <w:color w:val="000000"/>
                <w:kern w:val="0"/>
                <w:sz w:val="24"/>
              </w:rPr>
              <w:t>患者端应用</w:t>
            </w:r>
          </w:p>
        </w:tc>
        <w:tc>
          <w:tcPr>
            <w:tcW w:w="3550" w:type="pct"/>
            <w:vAlign w:val="center"/>
          </w:tcPr>
          <w:p w14:paraId="51A3B386">
            <w:pPr>
              <w:spacing w:before="120" w:after="120"/>
              <w:ind w:left="57" w:right="57"/>
              <w:rPr>
                <w:rFonts w:ascii="Times New Roman" w:hAnsi="Times New Roman" w:eastAsia="宋体" w:cs="宋体"/>
                <w:color w:val="000000"/>
                <w:kern w:val="0"/>
                <w:sz w:val="24"/>
              </w:rPr>
            </w:pPr>
            <w:r>
              <w:rPr>
                <w:rFonts w:hint="eastAsia" w:ascii="宋体" w:hAnsi="宋体"/>
                <w:b/>
                <w:bCs/>
                <w:color w:val="000000"/>
              </w:rPr>
              <w:t>★</w:t>
            </w:r>
            <w:r>
              <w:rPr>
                <w:rFonts w:ascii="Times New Roman" w:hAnsi="Times New Roman" w:eastAsia="宋体" w:cs="宋体"/>
                <w:color w:val="000000"/>
                <w:kern w:val="0"/>
                <w:sz w:val="24"/>
              </w:rPr>
              <w:t>系统应支持患者通过微信移动端访问个人数据看板。患者可查看自身历史随访记录、症状变化趋势及健康数据，并接收系统推送的健康管理提醒和随访通知，从而提高患者参与度和治疗依从性</w:t>
            </w:r>
          </w:p>
        </w:tc>
      </w:tr>
      <w:tr w14:paraId="51A3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1" w:type="pct"/>
            <w:vAlign w:val="center"/>
          </w:tcPr>
          <w:p w14:paraId="51A3B388">
            <w:pPr>
              <w:spacing w:before="120" w:after="120"/>
              <w:ind w:left="57" w:right="57"/>
              <w:jc w:val="left"/>
              <w:rPr>
                <w:rFonts w:ascii="Times New Roman" w:hAnsi="Times New Roman" w:eastAsia="宋体" w:cs="宋体"/>
                <w:color w:val="000000"/>
                <w:kern w:val="0"/>
                <w:sz w:val="24"/>
              </w:rPr>
            </w:pPr>
            <w:r>
              <w:rPr>
                <w:rFonts w:hint="eastAsia" w:ascii="Times New Roman" w:hAnsi="Times New Roman" w:eastAsia="宋体" w:cs="宋体"/>
                <w:color w:val="000000"/>
                <w:kern w:val="0"/>
                <w:sz w:val="24"/>
              </w:rPr>
              <w:t>5</w:t>
            </w:r>
            <w:r>
              <w:rPr>
                <w:rFonts w:ascii="Times New Roman" w:hAnsi="Times New Roman" w:eastAsia="宋体" w:cs="宋体"/>
                <w:color w:val="000000"/>
                <w:kern w:val="0"/>
                <w:sz w:val="24"/>
              </w:rPr>
              <w:t>. 多中心协作管理</w:t>
            </w:r>
          </w:p>
        </w:tc>
        <w:tc>
          <w:tcPr>
            <w:tcW w:w="769" w:type="pct"/>
            <w:vAlign w:val="center"/>
          </w:tcPr>
          <w:p w14:paraId="51A3B389">
            <w:pPr>
              <w:spacing w:before="120" w:after="120"/>
              <w:ind w:left="57" w:right="57"/>
              <w:rPr>
                <w:rFonts w:ascii="Times New Roman" w:hAnsi="Times New Roman" w:eastAsia="宋体" w:cs="宋体"/>
                <w:color w:val="000000"/>
                <w:kern w:val="0"/>
                <w:sz w:val="24"/>
              </w:rPr>
            </w:pPr>
            <w:r>
              <w:rPr>
                <w:rFonts w:ascii="Times New Roman" w:hAnsi="Times New Roman" w:eastAsia="宋体" w:cs="宋体"/>
                <w:color w:val="000000"/>
                <w:kern w:val="0"/>
                <w:sz w:val="24"/>
              </w:rPr>
              <w:t>5.1 分层权限管理</w:t>
            </w:r>
          </w:p>
        </w:tc>
        <w:tc>
          <w:tcPr>
            <w:tcW w:w="3550" w:type="pct"/>
            <w:vAlign w:val="center"/>
          </w:tcPr>
          <w:p w14:paraId="51A3B38B">
            <w:pPr>
              <w:spacing w:before="120" w:after="120"/>
              <w:ind w:left="57" w:right="57"/>
              <w:rPr>
                <w:rFonts w:ascii="Times New Roman" w:hAnsi="Times New Roman" w:eastAsia="宋体" w:cs="宋体"/>
                <w:color w:val="000000"/>
                <w:kern w:val="0"/>
                <w:sz w:val="24"/>
              </w:rPr>
            </w:pPr>
            <w:r>
              <w:rPr>
                <w:rFonts w:ascii="Times New Roman" w:hAnsi="Times New Roman" w:eastAsia="宋体" w:cs="宋体"/>
                <w:color w:val="000000"/>
                <w:kern w:val="0"/>
                <w:sz w:val="24"/>
              </w:rPr>
              <w:t>系统应采用分层权限管理体系。各分中心应能够独立管理本中心入组患者的数据查看、日常随访任务执行以及患者沟通；牵头中心应具备项目统筹权限，可进行跨中心数据总览、质量监控、任务协调以及多中心数据分析，从而支持多中心研究协作。</w:t>
            </w:r>
          </w:p>
        </w:tc>
      </w:tr>
      <w:tr w14:paraId="51A3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1" w:type="pct"/>
            <w:vMerge w:val="restart"/>
            <w:vAlign w:val="center"/>
          </w:tcPr>
          <w:p w14:paraId="51A3B3C0">
            <w:pPr>
              <w:spacing w:before="120" w:after="120"/>
              <w:ind w:left="57" w:right="57"/>
              <w:jc w:val="left"/>
              <w:rPr>
                <w:rFonts w:ascii="Times New Roman" w:hAnsi="Times New Roman" w:eastAsia="宋体" w:cs="宋体"/>
                <w:color w:val="000000"/>
                <w:kern w:val="0"/>
                <w:sz w:val="24"/>
                <w:lang w:eastAsia="zh"/>
              </w:rPr>
            </w:pPr>
            <w:r>
              <w:rPr>
                <w:rFonts w:hint="eastAsia" w:ascii="Times New Roman" w:hAnsi="Times New Roman" w:eastAsia="宋体" w:cs="宋体"/>
                <w:color w:val="000000"/>
                <w:kern w:val="0"/>
                <w:sz w:val="24"/>
              </w:rPr>
              <w:t>6.</w:t>
            </w:r>
            <w:r>
              <w:t xml:space="preserve"> </w:t>
            </w:r>
            <w:r>
              <w:rPr>
                <w:rFonts w:ascii="Times New Roman" w:hAnsi="Times New Roman" w:eastAsia="宋体" w:cs="宋体"/>
                <w:color w:val="000000"/>
                <w:kern w:val="0"/>
                <w:sz w:val="24"/>
                <w:lang w:eastAsia="zh"/>
              </w:rPr>
              <w:t>基础功能模块</w:t>
            </w:r>
          </w:p>
        </w:tc>
        <w:tc>
          <w:tcPr>
            <w:tcW w:w="769" w:type="pct"/>
            <w:vAlign w:val="center"/>
          </w:tcPr>
          <w:p w14:paraId="51A3B3C1">
            <w:pPr>
              <w:spacing w:before="120" w:after="120"/>
              <w:ind w:left="57" w:right="57"/>
              <w:rPr>
                <w:rFonts w:ascii="Times New Roman" w:hAnsi="Times New Roman" w:eastAsia="宋体" w:cs="宋体"/>
                <w:color w:val="000000"/>
                <w:kern w:val="0"/>
                <w:sz w:val="24"/>
              </w:rPr>
            </w:pPr>
            <w:r>
              <w:rPr>
                <w:rFonts w:ascii="Times New Roman" w:hAnsi="Times New Roman" w:eastAsia="宋体" w:cs="宋体"/>
                <w:color w:val="000000"/>
                <w:kern w:val="0"/>
                <w:sz w:val="24"/>
              </w:rPr>
              <w:t>6.1 患者信息管理</w:t>
            </w:r>
          </w:p>
        </w:tc>
        <w:tc>
          <w:tcPr>
            <w:tcW w:w="3550" w:type="pct"/>
            <w:vAlign w:val="center"/>
          </w:tcPr>
          <w:p w14:paraId="51A3B3C7">
            <w:pPr>
              <w:spacing w:before="120" w:after="120"/>
              <w:ind w:left="57" w:right="57"/>
              <w:rPr>
                <w:rFonts w:ascii="Times New Roman" w:hAnsi="Times New Roman" w:eastAsia="宋体" w:cs="宋体"/>
                <w:color w:val="000000"/>
                <w:kern w:val="0"/>
                <w:sz w:val="24"/>
              </w:rPr>
            </w:pPr>
            <w:r>
              <w:rPr>
                <w:rFonts w:ascii="Times New Roman" w:hAnsi="Times New Roman" w:eastAsia="宋体" w:cs="宋体"/>
                <w:color w:val="000000"/>
                <w:kern w:val="0"/>
                <w:sz w:val="24"/>
              </w:rPr>
              <w:t>系统应支持记录患者人口学信息（如年龄、性别等）以及临床信息（如诊断、用药情况和实验室检测数据），以支持研究队列建立和患者管理。</w:t>
            </w:r>
          </w:p>
        </w:tc>
      </w:tr>
      <w:tr w14:paraId="0AF5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1" w:type="pct"/>
            <w:vMerge w:val="continue"/>
            <w:vAlign w:val="center"/>
          </w:tcPr>
          <w:p w14:paraId="61358C2B">
            <w:pPr>
              <w:spacing w:before="120" w:after="120"/>
              <w:ind w:left="57" w:right="57"/>
              <w:jc w:val="left"/>
              <w:rPr>
                <w:rFonts w:ascii="Times New Roman" w:hAnsi="Times New Roman" w:eastAsia="宋体" w:cs="宋体"/>
                <w:color w:val="000000"/>
                <w:kern w:val="0"/>
                <w:sz w:val="24"/>
              </w:rPr>
            </w:pPr>
          </w:p>
        </w:tc>
        <w:tc>
          <w:tcPr>
            <w:tcW w:w="769" w:type="pct"/>
            <w:vAlign w:val="center"/>
          </w:tcPr>
          <w:p w14:paraId="5E4F32D9">
            <w:pPr>
              <w:spacing w:before="120" w:after="120"/>
              <w:ind w:left="57" w:right="57"/>
              <w:rPr>
                <w:rFonts w:ascii="Times New Roman" w:hAnsi="Times New Roman" w:eastAsia="宋体" w:cs="宋体"/>
                <w:color w:val="000000"/>
                <w:kern w:val="0"/>
                <w:sz w:val="24"/>
              </w:rPr>
            </w:pPr>
            <w:r>
              <w:rPr>
                <w:rFonts w:ascii="Times New Roman" w:hAnsi="Times New Roman" w:eastAsia="宋体" w:cs="宋体"/>
                <w:color w:val="000000"/>
                <w:kern w:val="0"/>
                <w:sz w:val="24"/>
              </w:rPr>
              <w:t>6.2 日常推送与分层管理</w:t>
            </w:r>
          </w:p>
        </w:tc>
        <w:tc>
          <w:tcPr>
            <w:tcW w:w="3550" w:type="pct"/>
            <w:vAlign w:val="center"/>
          </w:tcPr>
          <w:p w14:paraId="1F5E97E2">
            <w:pPr>
              <w:spacing w:before="120" w:after="120"/>
              <w:ind w:left="57" w:right="57"/>
              <w:rPr>
                <w:rFonts w:ascii="Times New Roman" w:hAnsi="Times New Roman" w:eastAsia="宋体" w:cs="宋体"/>
                <w:color w:val="000000"/>
                <w:kern w:val="0"/>
                <w:sz w:val="24"/>
              </w:rPr>
            </w:pPr>
            <w:r>
              <w:rPr>
                <w:rFonts w:hint="eastAsia" w:ascii="宋体" w:hAnsi="宋体"/>
                <w:b/>
                <w:bCs/>
                <w:color w:val="000000"/>
              </w:rPr>
              <w:t>★</w:t>
            </w:r>
            <w:r>
              <w:rPr>
                <w:rFonts w:ascii="Times New Roman" w:hAnsi="Times New Roman" w:eastAsia="宋体" w:cs="宋体"/>
                <w:color w:val="000000"/>
                <w:kern w:val="0"/>
                <w:sz w:val="24"/>
              </w:rPr>
              <w:t>系统应支持向患者推送健康管理信息，并支持根据患者疾病类型或研究分组进行分层推送，例如区分过敏性鼻炎患者及过敏性鼻炎合并哮喘患者。</w:t>
            </w:r>
          </w:p>
        </w:tc>
      </w:tr>
      <w:tr w14:paraId="1546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1" w:type="pct"/>
            <w:vMerge w:val="continue"/>
            <w:vAlign w:val="center"/>
          </w:tcPr>
          <w:p w14:paraId="4E3DDA3F">
            <w:pPr>
              <w:spacing w:before="120" w:after="120"/>
              <w:ind w:left="57" w:right="57"/>
              <w:jc w:val="left"/>
              <w:rPr>
                <w:rFonts w:ascii="Times New Roman" w:hAnsi="Times New Roman" w:eastAsia="宋体" w:cs="宋体"/>
                <w:color w:val="000000"/>
                <w:kern w:val="0"/>
                <w:sz w:val="24"/>
              </w:rPr>
            </w:pPr>
          </w:p>
        </w:tc>
        <w:tc>
          <w:tcPr>
            <w:tcW w:w="769" w:type="pct"/>
            <w:vAlign w:val="center"/>
          </w:tcPr>
          <w:p w14:paraId="35EA8066">
            <w:pPr>
              <w:spacing w:before="120" w:after="120"/>
              <w:ind w:left="57" w:right="57"/>
              <w:rPr>
                <w:rFonts w:ascii="Times New Roman" w:hAnsi="Times New Roman" w:eastAsia="宋体" w:cs="宋体"/>
                <w:color w:val="000000"/>
                <w:kern w:val="0"/>
                <w:sz w:val="24"/>
              </w:rPr>
            </w:pPr>
            <w:r>
              <w:rPr>
                <w:rFonts w:ascii="Times New Roman" w:hAnsi="Times New Roman" w:eastAsia="宋体" w:cs="宋体"/>
                <w:color w:val="000000"/>
                <w:kern w:val="0"/>
                <w:sz w:val="24"/>
              </w:rPr>
              <w:t>6.3 数据展示与分析</w:t>
            </w:r>
          </w:p>
        </w:tc>
        <w:tc>
          <w:tcPr>
            <w:tcW w:w="3550" w:type="pct"/>
            <w:vAlign w:val="center"/>
          </w:tcPr>
          <w:p w14:paraId="004C96E9">
            <w:pPr>
              <w:spacing w:before="120" w:after="120"/>
              <w:ind w:left="57" w:right="57"/>
              <w:rPr>
                <w:rFonts w:ascii="Times New Roman" w:hAnsi="Times New Roman" w:eastAsia="宋体" w:cs="宋体"/>
                <w:color w:val="000000"/>
                <w:kern w:val="0"/>
                <w:sz w:val="24"/>
              </w:rPr>
            </w:pPr>
            <w:r>
              <w:rPr>
                <w:rFonts w:hint="eastAsia" w:ascii="宋体" w:hAnsi="宋体"/>
                <w:b/>
                <w:bCs/>
                <w:color w:val="000000"/>
              </w:rPr>
              <w:t>★</w:t>
            </w:r>
            <w:r>
              <w:rPr>
                <w:rFonts w:ascii="Times New Roman" w:hAnsi="Times New Roman" w:eastAsia="宋体" w:cs="宋体"/>
                <w:color w:val="000000"/>
                <w:kern w:val="0"/>
                <w:sz w:val="24"/>
              </w:rPr>
              <w:t>系统应支持患者症状、用药情况及随访结果的统计与可视化展示，并提供基础统计图表，如趋势图等。</w:t>
            </w:r>
          </w:p>
        </w:tc>
      </w:tr>
      <w:tr w14:paraId="51A3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1" w:type="pct"/>
            <w:vMerge w:val="restart"/>
            <w:vAlign w:val="center"/>
          </w:tcPr>
          <w:p w14:paraId="51A3B3C9">
            <w:pPr>
              <w:spacing w:before="120" w:after="120"/>
              <w:ind w:left="57" w:right="57"/>
              <w:jc w:val="left"/>
              <w:rPr>
                <w:rFonts w:ascii="Times New Roman" w:hAnsi="Times New Roman" w:eastAsia="宋体" w:cs="宋体"/>
                <w:color w:val="000000"/>
                <w:kern w:val="0"/>
                <w:sz w:val="24"/>
                <w:lang w:eastAsia="zh"/>
              </w:rPr>
            </w:pPr>
            <w:r>
              <w:rPr>
                <w:rFonts w:hint="eastAsia" w:ascii="Times New Roman" w:hAnsi="Times New Roman" w:eastAsia="宋体" w:cs="宋体"/>
                <w:color w:val="000000"/>
                <w:kern w:val="0"/>
                <w:sz w:val="24"/>
              </w:rPr>
              <w:t>7.</w:t>
            </w:r>
            <w:r>
              <w:t xml:space="preserve"> </w:t>
            </w:r>
            <w:r>
              <w:rPr>
                <w:rFonts w:ascii="Times New Roman" w:hAnsi="Times New Roman" w:eastAsia="宋体" w:cs="宋体"/>
                <w:color w:val="000000"/>
                <w:kern w:val="0"/>
                <w:sz w:val="24"/>
                <w:lang w:eastAsia="zh"/>
              </w:rPr>
              <w:t>扩展功能模块</w:t>
            </w:r>
          </w:p>
        </w:tc>
        <w:tc>
          <w:tcPr>
            <w:tcW w:w="769" w:type="pct"/>
            <w:vAlign w:val="center"/>
          </w:tcPr>
          <w:p w14:paraId="51A3B3CA">
            <w:pPr>
              <w:spacing w:before="120" w:after="120"/>
              <w:ind w:left="57" w:right="57"/>
              <w:rPr>
                <w:rFonts w:ascii="Times New Roman" w:hAnsi="Times New Roman" w:eastAsia="宋体" w:cs="宋体"/>
                <w:color w:val="000000"/>
                <w:kern w:val="0"/>
                <w:sz w:val="24"/>
              </w:rPr>
            </w:pPr>
            <w:r>
              <w:rPr>
                <w:rFonts w:ascii="Times New Roman" w:hAnsi="Times New Roman" w:eastAsia="宋体" w:cs="宋体"/>
                <w:color w:val="000000"/>
                <w:kern w:val="0"/>
                <w:sz w:val="24"/>
              </w:rPr>
              <w:t>7.1 检验结果影像采集</w:t>
            </w:r>
          </w:p>
        </w:tc>
        <w:tc>
          <w:tcPr>
            <w:tcW w:w="3550" w:type="pct"/>
            <w:vAlign w:val="center"/>
          </w:tcPr>
          <w:p w14:paraId="51A3B3CB">
            <w:pPr>
              <w:spacing w:before="120" w:after="120"/>
              <w:ind w:left="57" w:right="57"/>
              <w:rPr>
                <w:rFonts w:ascii="Times New Roman" w:hAnsi="Times New Roman" w:eastAsia="宋体" w:cs="宋体"/>
                <w:color w:val="000000"/>
                <w:kern w:val="0"/>
                <w:sz w:val="24"/>
                <w:lang w:eastAsia="zh"/>
              </w:rPr>
            </w:pPr>
            <w:r>
              <w:rPr>
                <w:rFonts w:hint="eastAsia" w:ascii="宋体" w:hAnsi="宋体"/>
                <w:b/>
                <w:bCs/>
                <w:color w:val="000000"/>
              </w:rPr>
              <w:t>★</w:t>
            </w:r>
            <w:r>
              <w:rPr>
                <w:rFonts w:ascii="Times New Roman" w:hAnsi="Times New Roman" w:eastAsia="宋体" w:cs="宋体"/>
                <w:color w:val="000000"/>
                <w:kern w:val="0"/>
                <w:sz w:val="24"/>
                <w:lang w:eastAsia="zh"/>
              </w:rPr>
              <w:t>系统应支持患者通过移动端拍照方式上传检验报告或检查单据，并支持对相关检验信息进行展示或结构化记录</w:t>
            </w:r>
          </w:p>
        </w:tc>
      </w:tr>
      <w:tr w14:paraId="6EB7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1" w:type="pct"/>
            <w:vMerge w:val="continue"/>
            <w:vAlign w:val="center"/>
          </w:tcPr>
          <w:p w14:paraId="5E836426">
            <w:pPr>
              <w:spacing w:before="120" w:after="120"/>
              <w:ind w:left="57" w:right="57"/>
              <w:jc w:val="left"/>
              <w:rPr>
                <w:rFonts w:ascii="Times New Roman" w:hAnsi="Times New Roman" w:eastAsia="宋体" w:cs="宋体"/>
                <w:color w:val="000000"/>
                <w:kern w:val="0"/>
                <w:sz w:val="24"/>
              </w:rPr>
            </w:pPr>
          </w:p>
        </w:tc>
        <w:tc>
          <w:tcPr>
            <w:tcW w:w="769" w:type="pct"/>
            <w:vAlign w:val="center"/>
          </w:tcPr>
          <w:p w14:paraId="71A5EAA8">
            <w:pPr>
              <w:spacing w:before="120" w:after="120"/>
              <w:ind w:left="57" w:right="57"/>
              <w:rPr>
                <w:rFonts w:ascii="Times New Roman" w:hAnsi="Times New Roman" w:eastAsia="宋体" w:cs="宋体"/>
                <w:color w:val="000000"/>
                <w:kern w:val="0"/>
                <w:sz w:val="24"/>
              </w:rPr>
            </w:pPr>
            <w:r>
              <w:rPr>
                <w:rFonts w:ascii="Times New Roman" w:hAnsi="Times New Roman" w:eastAsia="宋体" w:cs="宋体"/>
                <w:color w:val="000000"/>
                <w:kern w:val="0"/>
                <w:sz w:val="24"/>
              </w:rPr>
              <w:t>7.2 数据补录功能</w:t>
            </w:r>
          </w:p>
        </w:tc>
        <w:tc>
          <w:tcPr>
            <w:tcW w:w="3550" w:type="pct"/>
            <w:vAlign w:val="center"/>
          </w:tcPr>
          <w:p w14:paraId="05281B9B">
            <w:pPr>
              <w:spacing w:before="120" w:after="120"/>
              <w:ind w:left="57" w:right="57"/>
              <w:rPr>
                <w:rFonts w:ascii="Times New Roman" w:hAnsi="Times New Roman" w:eastAsia="宋体" w:cs="宋体"/>
                <w:color w:val="000000"/>
                <w:kern w:val="0"/>
                <w:sz w:val="24"/>
                <w:lang w:eastAsia="zh"/>
              </w:rPr>
            </w:pPr>
            <w:r>
              <w:rPr>
                <w:rFonts w:ascii="Times New Roman" w:hAnsi="Times New Roman" w:eastAsia="宋体" w:cs="宋体"/>
                <w:color w:val="000000"/>
                <w:kern w:val="0"/>
                <w:sz w:val="24"/>
                <w:lang w:eastAsia="zh"/>
              </w:rPr>
              <w:t>系统应支持研究人员人工录入其他实验数据或观察性研究数据，以补充随访信息。</w:t>
            </w:r>
          </w:p>
        </w:tc>
      </w:tr>
      <w:tr w14:paraId="377C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1" w:type="pct"/>
            <w:vMerge w:val="continue"/>
            <w:vAlign w:val="center"/>
          </w:tcPr>
          <w:p w14:paraId="4FF132D0">
            <w:pPr>
              <w:spacing w:before="120" w:after="120"/>
              <w:ind w:left="57" w:right="57"/>
              <w:jc w:val="left"/>
              <w:rPr>
                <w:rFonts w:ascii="Times New Roman" w:hAnsi="Times New Roman" w:eastAsia="宋体" w:cs="宋体"/>
                <w:color w:val="000000"/>
                <w:kern w:val="0"/>
                <w:sz w:val="24"/>
              </w:rPr>
            </w:pPr>
          </w:p>
        </w:tc>
        <w:tc>
          <w:tcPr>
            <w:tcW w:w="769" w:type="pct"/>
            <w:vAlign w:val="center"/>
          </w:tcPr>
          <w:p w14:paraId="73373C10">
            <w:pPr>
              <w:spacing w:before="120" w:after="120"/>
              <w:ind w:left="57" w:right="57"/>
              <w:rPr>
                <w:rFonts w:ascii="Times New Roman" w:hAnsi="Times New Roman" w:eastAsia="宋体" w:cs="宋体"/>
                <w:color w:val="000000"/>
                <w:kern w:val="0"/>
                <w:sz w:val="24"/>
              </w:rPr>
            </w:pPr>
            <w:r>
              <w:rPr>
                <w:rFonts w:ascii="Times New Roman" w:hAnsi="Times New Roman" w:eastAsia="宋体" w:cs="宋体"/>
                <w:color w:val="000000"/>
                <w:kern w:val="0"/>
                <w:sz w:val="24"/>
              </w:rPr>
              <w:t>7.3 医疗辅助决策支持（非AI）</w:t>
            </w:r>
          </w:p>
        </w:tc>
        <w:tc>
          <w:tcPr>
            <w:tcW w:w="3550" w:type="pct"/>
            <w:vAlign w:val="center"/>
          </w:tcPr>
          <w:p w14:paraId="29081E3C">
            <w:pPr>
              <w:spacing w:before="120" w:after="120"/>
              <w:ind w:left="57" w:right="57"/>
              <w:rPr>
                <w:rFonts w:ascii="Times New Roman" w:hAnsi="Times New Roman" w:eastAsia="宋体" w:cs="宋体"/>
                <w:color w:val="000000"/>
                <w:kern w:val="0"/>
                <w:sz w:val="24"/>
                <w:lang w:eastAsia="zh"/>
              </w:rPr>
            </w:pPr>
            <w:r>
              <w:rPr>
                <w:rFonts w:hint="eastAsia" w:ascii="宋体" w:hAnsi="宋体"/>
                <w:b/>
                <w:bCs/>
                <w:color w:val="000000"/>
              </w:rPr>
              <w:t>★</w:t>
            </w:r>
            <w:r>
              <w:rPr>
                <w:rFonts w:ascii="Times New Roman" w:hAnsi="Times New Roman" w:eastAsia="宋体" w:cs="宋体"/>
                <w:color w:val="000000"/>
                <w:kern w:val="0"/>
                <w:sz w:val="24"/>
                <w:lang w:eastAsia="zh"/>
              </w:rPr>
              <w:t>系统应支持基于规则的辅助提示功能，例如根据患者症状变化或用药情况提醒医护人员建议患者复诊或调整治疗方案。</w:t>
            </w:r>
          </w:p>
        </w:tc>
      </w:tr>
      <w:tr w14:paraId="5C7B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1" w:type="pct"/>
            <w:vMerge w:val="restart"/>
            <w:vAlign w:val="center"/>
          </w:tcPr>
          <w:p w14:paraId="01E42530">
            <w:pPr>
              <w:spacing w:before="120" w:after="120"/>
              <w:ind w:left="57" w:right="57"/>
              <w:jc w:val="left"/>
              <w:rPr>
                <w:rFonts w:ascii="Times New Roman" w:hAnsi="Times New Roman" w:eastAsia="宋体" w:cs="宋体"/>
                <w:color w:val="000000"/>
                <w:kern w:val="0"/>
                <w:sz w:val="24"/>
              </w:rPr>
            </w:pPr>
            <w:r>
              <w:rPr>
                <w:rFonts w:hint="eastAsia" w:ascii="Times New Roman" w:hAnsi="Times New Roman" w:eastAsia="宋体" w:cs="宋体"/>
                <w:kern w:val="0"/>
                <w:sz w:val="24"/>
                <w:lang w:bidi="ar"/>
              </w:rPr>
              <w:t>8.</w:t>
            </w:r>
            <w:r>
              <w:rPr>
                <w:lang w:bidi="ar"/>
              </w:rPr>
              <w:t xml:space="preserve"> </w:t>
            </w:r>
            <w:r>
              <w:rPr>
                <w:rFonts w:ascii="Times New Roman" w:hAnsi="Times New Roman" w:eastAsia="宋体" w:cs="宋体"/>
                <w:kern w:val="0"/>
                <w:sz w:val="24"/>
                <w:lang w:bidi="ar"/>
              </w:rPr>
              <w:t>AI扩展模块</w:t>
            </w:r>
          </w:p>
        </w:tc>
        <w:tc>
          <w:tcPr>
            <w:tcW w:w="769" w:type="pct"/>
            <w:vAlign w:val="center"/>
          </w:tcPr>
          <w:p w14:paraId="28735B63">
            <w:pPr>
              <w:spacing w:before="120" w:after="120"/>
              <w:ind w:left="57" w:right="57"/>
              <w:rPr>
                <w:rFonts w:ascii="Times New Roman" w:hAnsi="Times New Roman" w:eastAsia="宋体" w:cs="宋体"/>
                <w:color w:val="000000"/>
                <w:kern w:val="0"/>
                <w:sz w:val="24"/>
              </w:rPr>
            </w:pPr>
            <w:r>
              <w:rPr>
                <w:rFonts w:hint="eastAsia" w:ascii="Times New Roman" w:hAnsi="Times New Roman" w:eastAsia="宋体" w:cs="宋体"/>
                <w:kern w:val="0"/>
                <w:sz w:val="24"/>
                <w:lang w:bidi="ar"/>
              </w:rPr>
              <w:t>8.1</w:t>
            </w:r>
            <w:r>
              <w:t xml:space="preserve"> </w:t>
            </w:r>
            <w:r>
              <w:rPr>
                <w:rFonts w:ascii="Times New Roman" w:hAnsi="Times New Roman" w:eastAsia="宋体" w:cs="宋体"/>
                <w:kern w:val="0"/>
                <w:sz w:val="24"/>
                <w:lang w:bidi="ar"/>
              </w:rPr>
              <w:t>生成式AI数据仪表板</w:t>
            </w:r>
          </w:p>
        </w:tc>
        <w:tc>
          <w:tcPr>
            <w:tcW w:w="3550" w:type="pct"/>
            <w:vAlign w:val="center"/>
          </w:tcPr>
          <w:p w14:paraId="6C859A3D">
            <w:pPr>
              <w:spacing w:before="120" w:after="120"/>
              <w:ind w:left="57" w:right="57"/>
              <w:rPr>
                <w:rFonts w:ascii="Times New Roman" w:hAnsi="Times New Roman" w:eastAsia="宋体" w:cs="宋体"/>
                <w:color w:val="000000"/>
                <w:kern w:val="0"/>
                <w:sz w:val="24"/>
                <w:lang w:eastAsia="zh"/>
              </w:rPr>
            </w:pPr>
            <w:r>
              <w:rPr>
                <w:rFonts w:hint="eastAsia" w:ascii="宋体" w:hAnsi="宋体"/>
                <w:b/>
                <w:bCs/>
                <w:color w:val="000000"/>
              </w:rPr>
              <w:t>★</w:t>
            </w:r>
            <w:r>
              <w:rPr>
                <w:rFonts w:ascii="Times New Roman" w:hAnsi="Times New Roman" w:eastAsia="宋体" w:cs="宋体"/>
                <w:kern w:val="0"/>
                <w:sz w:val="24"/>
                <w:lang w:eastAsia="zh" w:bidi="ar"/>
              </w:rPr>
              <w:t>在系统基础功能模块上，可进一步集成生成式人工智能（Generative AI）数据仪表板，用于提升数据分析和决策支持能力。该模块可支持自动生成患者群体健康趋势分析、研究数据总结报告以及潜在风险信号识别，并支持研究团队进行快速数据解读与科研分析。</w:t>
            </w:r>
          </w:p>
        </w:tc>
      </w:tr>
      <w:tr w14:paraId="5D01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1" w:type="pct"/>
            <w:vMerge w:val="continue"/>
            <w:vAlign w:val="center"/>
          </w:tcPr>
          <w:p w14:paraId="0F254EE4">
            <w:pPr>
              <w:spacing w:before="120" w:after="120"/>
              <w:ind w:left="57" w:right="57"/>
              <w:jc w:val="left"/>
              <w:rPr>
                <w:rFonts w:ascii="Times New Roman" w:hAnsi="Times New Roman" w:eastAsia="宋体" w:cs="宋体"/>
                <w:kern w:val="0"/>
                <w:sz w:val="24"/>
                <w:lang w:bidi="ar"/>
              </w:rPr>
            </w:pPr>
          </w:p>
        </w:tc>
        <w:tc>
          <w:tcPr>
            <w:tcW w:w="769" w:type="pct"/>
            <w:vAlign w:val="center"/>
          </w:tcPr>
          <w:p w14:paraId="25502984">
            <w:pPr>
              <w:spacing w:before="120" w:after="120"/>
              <w:ind w:left="57" w:right="57"/>
              <w:rPr>
                <w:rFonts w:ascii="Times New Roman" w:hAnsi="Times New Roman" w:eastAsia="宋体" w:cs="宋体"/>
                <w:kern w:val="0"/>
                <w:sz w:val="24"/>
                <w:lang w:bidi="ar"/>
              </w:rPr>
            </w:pPr>
            <w:r>
              <w:rPr>
                <w:rFonts w:ascii="Times New Roman" w:hAnsi="Times New Roman" w:eastAsia="宋体" w:cs="宋体"/>
                <w:kern w:val="0"/>
                <w:sz w:val="24"/>
                <w:lang w:bidi="ar"/>
              </w:rPr>
              <w:t>8,2 AI组件知识产权说明</w:t>
            </w:r>
          </w:p>
        </w:tc>
        <w:tc>
          <w:tcPr>
            <w:tcW w:w="3550" w:type="pct"/>
            <w:vAlign w:val="center"/>
          </w:tcPr>
          <w:p w14:paraId="0F5578A2">
            <w:pPr>
              <w:spacing w:before="120" w:after="120"/>
              <w:ind w:left="57" w:right="57"/>
              <w:rPr>
                <w:rFonts w:ascii="Times New Roman" w:hAnsi="Times New Roman" w:eastAsia="宋体" w:cs="宋体"/>
                <w:kern w:val="0"/>
                <w:sz w:val="24"/>
                <w:lang w:eastAsia="zh" w:bidi="ar"/>
              </w:rPr>
            </w:pPr>
            <w:r>
              <w:rPr>
                <w:rFonts w:ascii="Times New Roman" w:hAnsi="Times New Roman" w:eastAsia="宋体" w:cs="宋体"/>
                <w:kern w:val="0"/>
                <w:sz w:val="24"/>
                <w:lang w:eastAsia="zh" w:bidi="ar"/>
              </w:rPr>
              <w:t>所有人工智能组件将围绕</w:t>
            </w:r>
            <w:r>
              <w:rPr>
                <w:rFonts w:hint="eastAsia" w:ascii="Times New Roman" w:hAnsi="Times New Roman" w:eastAsia="宋体" w:cs="宋体"/>
                <w:kern w:val="0"/>
                <w:sz w:val="24"/>
                <w:lang w:bidi="ar"/>
              </w:rPr>
              <w:t>本项目</w:t>
            </w:r>
            <w:r>
              <w:rPr>
                <w:rFonts w:ascii="Times New Roman" w:hAnsi="Times New Roman" w:eastAsia="宋体" w:cs="宋体"/>
                <w:kern w:val="0"/>
                <w:sz w:val="24"/>
                <w:lang w:eastAsia="zh" w:bidi="ar"/>
              </w:rPr>
              <w:t>需求进行定制化研发，并通过完善的知识产权保护机制，对核心算法模型、数据处理流程及系统架构进行系统性保护，以确保技术成果的独立性与可持续发展。</w:t>
            </w:r>
          </w:p>
        </w:tc>
      </w:tr>
      <w:tr w14:paraId="1279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1" w:type="pct"/>
            <w:vMerge w:val="continue"/>
            <w:vAlign w:val="center"/>
          </w:tcPr>
          <w:p w14:paraId="0B4C6FC1">
            <w:pPr>
              <w:spacing w:before="120" w:after="120"/>
              <w:ind w:left="57" w:right="57"/>
              <w:jc w:val="left"/>
              <w:rPr>
                <w:rFonts w:ascii="Times New Roman" w:hAnsi="Times New Roman" w:eastAsia="宋体" w:cs="宋体"/>
                <w:kern w:val="0"/>
                <w:sz w:val="24"/>
                <w:lang w:bidi="ar"/>
              </w:rPr>
            </w:pPr>
          </w:p>
        </w:tc>
        <w:tc>
          <w:tcPr>
            <w:tcW w:w="769" w:type="pct"/>
            <w:vAlign w:val="center"/>
          </w:tcPr>
          <w:p w14:paraId="0E67E9AD">
            <w:pPr>
              <w:spacing w:before="120" w:after="120"/>
              <w:ind w:left="57" w:right="57"/>
              <w:rPr>
                <w:rFonts w:ascii="Times New Roman" w:hAnsi="Times New Roman" w:eastAsia="宋体" w:cs="宋体"/>
                <w:kern w:val="0"/>
                <w:sz w:val="24"/>
                <w:lang w:bidi="ar"/>
              </w:rPr>
            </w:pPr>
            <w:r>
              <w:rPr>
                <w:rFonts w:ascii="Times New Roman" w:hAnsi="Times New Roman" w:eastAsia="宋体" w:cs="宋体"/>
                <w:kern w:val="0"/>
                <w:sz w:val="24"/>
                <w:lang w:val="en-SG" w:bidi="ar"/>
              </w:rPr>
              <w:t>8.3</w:t>
            </w:r>
            <w:r>
              <w:rPr>
                <w:rFonts w:ascii="Times New Roman" w:hAnsi="Times New Roman" w:eastAsia="宋体" w:cs="宋体"/>
                <w:kern w:val="0"/>
                <w:sz w:val="24"/>
                <w:lang w:bidi="ar"/>
              </w:rPr>
              <w:t>患者个性化健康管理提示</w:t>
            </w:r>
          </w:p>
        </w:tc>
        <w:tc>
          <w:tcPr>
            <w:tcW w:w="3550" w:type="pct"/>
            <w:vAlign w:val="center"/>
          </w:tcPr>
          <w:p w14:paraId="437C4BEB">
            <w:pPr>
              <w:spacing w:before="120" w:after="120"/>
              <w:ind w:left="57" w:right="57"/>
              <w:rPr>
                <w:rFonts w:ascii="Times New Roman" w:hAnsi="Times New Roman" w:eastAsia="宋体" w:cs="宋体"/>
                <w:kern w:val="0"/>
                <w:sz w:val="24"/>
                <w:lang w:eastAsia="zh" w:bidi="ar"/>
              </w:rPr>
            </w:pPr>
            <w:r>
              <w:rPr>
                <w:rFonts w:ascii="Times New Roman" w:hAnsi="Times New Roman" w:eastAsia="宋体" w:cs="宋体"/>
                <w:kern w:val="0"/>
                <w:sz w:val="24"/>
                <w:lang w:eastAsia="zh" w:bidi="ar"/>
              </w:rPr>
              <w:t>在患者移动端，系统可基于患者历史随访数据与健康趋势，自动生成个性化健康管理建议与随访提醒，从而提升患者参与度与治疗依从性。</w:t>
            </w:r>
          </w:p>
        </w:tc>
      </w:tr>
    </w:tbl>
    <w:p w14:paraId="4320B270">
      <w:pPr>
        <w:pStyle w:val="10"/>
        <w:widowControl/>
        <w:wordWrap w:val="0"/>
        <w:spacing w:beforeAutospacing="0" w:afterAutospacing="0"/>
        <w:jc w:val="both"/>
        <w:rPr>
          <w:rStyle w:val="14"/>
          <w:rFonts w:cs="宋体"/>
          <w:color w:val="000000"/>
          <w:shd w:val="clear" w:color="auto" w:fill="FFFFFF"/>
          <w:lang w:val="en-SG"/>
        </w:rPr>
      </w:pPr>
    </w:p>
    <w:p w14:paraId="51A3B3E7">
      <w:pPr>
        <w:pStyle w:val="10"/>
        <w:widowControl/>
        <w:wordWrap w:val="0"/>
        <w:spacing w:beforeAutospacing="0" w:afterAutospacing="0"/>
        <w:jc w:val="both"/>
        <w:rPr>
          <w:rFonts w:ascii="Times New Roman" w:hAnsi="Times New Roman" w:eastAsia="宋体" w:cs="Calibri"/>
        </w:rPr>
      </w:pPr>
      <w:r>
        <w:rPr>
          <w:rStyle w:val="14"/>
          <w:rFonts w:hint="eastAsia" w:ascii="Times New Roman" w:hAnsi="Times New Roman" w:eastAsia="宋体" w:cs="宋体"/>
          <w:color w:val="000000"/>
          <w:shd w:val="clear" w:color="auto" w:fill="FFFFFF"/>
        </w:rPr>
        <w:t>二、技术要求</w:t>
      </w:r>
    </w:p>
    <w:tbl>
      <w:tblPr>
        <w:tblStyle w:val="11"/>
        <w:tblW w:w="8522" w:type="dxa"/>
        <w:jc w:val="center"/>
        <w:tblLayout w:type="autofit"/>
        <w:tblCellMar>
          <w:top w:w="0" w:type="dxa"/>
          <w:left w:w="0" w:type="dxa"/>
          <w:bottom w:w="0" w:type="dxa"/>
          <w:right w:w="0" w:type="dxa"/>
        </w:tblCellMar>
      </w:tblPr>
      <w:tblGrid>
        <w:gridCol w:w="860"/>
        <w:gridCol w:w="7662"/>
      </w:tblGrid>
      <w:tr w14:paraId="51A3B3EA">
        <w:trPr>
          <w:tblHeader/>
          <w:jc w:val="center"/>
        </w:trPr>
        <w:tc>
          <w:tcPr>
            <w:tcW w:w="860" w:type="dxa"/>
            <w:tcBorders>
              <w:top w:val="single" w:color="000000" w:sz="4" w:space="0"/>
              <w:left w:val="single" w:color="000000" w:sz="4" w:space="0"/>
              <w:bottom w:val="single" w:color="000000" w:sz="4" w:space="0"/>
              <w:right w:val="single" w:color="000000" w:sz="4" w:space="0"/>
              <w:tl2br w:val="nil"/>
            </w:tcBorders>
            <w:shd w:val="clear" w:color="auto" w:fill="FFFFFF"/>
            <w:tcMar>
              <w:left w:w="108" w:type="dxa"/>
              <w:right w:w="108" w:type="dxa"/>
            </w:tcMar>
            <w:vAlign w:val="center"/>
          </w:tcPr>
          <w:p w14:paraId="51A3B3E8">
            <w:pPr>
              <w:pStyle w:val="10"/>
              <w:widowControl/>
              <w:snapToGrid w:val="0"/>
              <w:spacing w:before="120" w:beforeAutospacing="0" w:after="120" w:afterAutospacing="0"/>
              <w:ind w:left="57" w:right="57"/>
              <w:jc w:val="center"/>
              <w:textAlignment w:val="center"/>
              <w:rPr>
                <w:rFonts w:ascii="Times New Roman" w:hAnsi="Times New Roman" w:eastAsia="宋体" w:cs="Calibri"/>
                <w:b/>
                <w:bCs/>
                <w:color w:val="000000"/>
              </w:rPr>
            </w:pPr>
            <w:r>
              <w:rPr>
                <w:rStyle w:val="14"/>
                <w:rFonts w:hint="eastAsia" w:ascii="Times New Roman" w:hAnsi="Times New Roman" w:eastAsia="宋体" w:cs="华文仿宋"/>
                <w:bCs/>
                <w:color w:val="000000"/>
              </w:rPr>
              <w:t>序号</w:t>
            </w: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3E9">
            <w:pPr>
              <w:pStyle w:val="10"/>
              <w:widowControl/>
              <w:snapToGrid w:val="0"/>
              <w:spacing w:before="120" w:beforeAutospacing="0" w:after="120" w:afterAutospacing="0"/>
              <w:ind w:left="57" w:right="57"/>
              <w:jc w:val="center"/>
              <w:textAlignment w:val="center"/>
              <w:rPr>
                <w:rFonts w:ascii="Times New Roman" w:hAnsi="Times New Roman" w:eastAsia="宋体" w:cs="Calibri"/>
                <w:b/>
                <w:bCs/>
                <w:color w:val="000000"/>
              </w:rPr>
            </w:pPr>
            <w:r>
              <w:rPr>
                <w:rStyle w:val="14"/>
                <w:rFonts w:hint="eastAsia" w:ascii="Times New Roman" w:hAnsi="Times New Roman" w:eastAsia="宋体" w:cs="华文仿宋"/>
                <w:bCs/>
                <w:color w:val="000000"/>
              </w:rPr>
              <w:t>要求</w:t>
            </w:r>
          </w:p>
        </w:tc>
      </w:tr>
      <w:tr w14:paraId="51A3B3ED">
        <w:tblPrEx>
          <w:tblCellMar>
            <w:top w:w="0" w:type="dxa"/>
            <w:left w:w="0" w:type="dxa"/>
            <w:bottom w:w="0" w:type="dxa"/>
            <w:right w:w="0" w:type="dxa"/>
          </w:tblCellMar>
        </w:tblPrEx>
        <w:trPr>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3EB">
            <w:pPr>
              <w:pStyle w:val="10"/>
              <w:widowControl/>
              <w:numPr>
                <w:ilvl w:val="0"/>
                <w:numId w:val="4"/>
              </w:numPr>
              <w:snapToGrid w:val="0"/>
              <w:spacing w:before="120" w:beforeAutospacing="0" w:after="120" w:afterAutospacing="0"/>
              <w:ind w:left="482" w:right="57"/>
              <w:jc w:val="center"/>
              <w:textAlignment w:val="center"/>
              <w:rPr>
                <w:rFonts w:ascii="Times New Roman" w:hAnsi="Times New Roman" w:eastAsia="宋体" w:cs="Calibri"/>
                <w:color w:val="000000"/>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3EC">
            <w:pPr>
              <w:pStyle w:val="10"/>
              <w:widowControl/>
              <w:snapToGrid w:val="0"/>
              <w:spacing w:before="120" w:beforeAutospacing="0" w:after="120" w:afterAutospacing="0"/>
              <w:ind w:left="57" w:right="57"/>
              <w:rPr>
                <w:rFonts w:ascii="Times New Roman" w:hAnsi="Times New Roman" w:eastAsia="宋体" w:cs="Calibri"/>
                <w:color w:val="000000"/>
              </w:rPr>
            </w:pPr>
            <w:r>
              <w:rPr>
                <w:rFonts w:ascii="Times New Roman" w:hAnsi="Times New Roman" w:eastAsia="宋体" w:cs="华文仿宋"/>
                <w:color w:val="000000"/>
              </w:rPr>
              <w:t>系统应提供完整的软件运行环境，包括操作系统、数据库及中间件组件，并确保系统能够稳定部署和运行。系统部署后不应产生额外的软件授权费用，以保证系统建设成本可控。</w:t>
            </w:r>
          </w:p>
        </w:tc>
      </w:tr>
      <w:tr w14:paraId="51A3B3F0">
        <w:tblPrEx>
          <w:tblCellMar>
            <w:top w:w="0" w:type="dxa"/>
            <w:left w:w="0" w:type="dxa"/>
            <w:bottom w:w="0" w:type="dxa"/>
            <w:right w:w="0" w:type="dxa"/>
          </w:tblCellMar>
        </w:tblPrEx>
        <w:trPr>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3EE">
            <w:pPr>
              <w:pStyle w:val="10"/>
              <w:widowControl/>
              <w:numPr>
                <w:ilvl w:val="0"/>
                <w:numId w:val="4"/>
              </w:numPr>
              <w:snapToGrid w:val="0"/>
              <w:spacing w:before="120" w:beforeAutospacing="0" w:after="120" w:afterAutospacing="0"/>
              <w:ind w:left="482" w:right="57"/>
              <w:jc w:val="center"/>
              <w:textAlignment w:val="center"/>
              <w:rPr>
                <w:rFonts w:ascii="Times New Roman" w:hAnsi="Times New Roman" w:eastAsia="宋体" w:cs="Calibri"/>
                <w:color w:val="000000"/>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3EF">
            <w:pPr>
              <w:pStyle w:val="10"/>
              <w:widowControl/>
              <w:snapToGrid w:val="0"/>
              <w:spacing w:before="120" w:beforeAutospacing="0" w:after="120" w:afterAutospacing="0"/>
              <w:ind w:left="57" w:right="57"/>
              <w:rPr>
                <w:rFonts w:ascii="Times New Roman" w:hAnsi="Times New Roman" w:eastAsia="宋体" w:cs="Calibri"/>
                <w:color w:val="000000"/>
              </w:rPr>
            </w:pPr>
            <w:r>
              <w:rPr>
                <w:rFonts w:ascii="Times New Roman" w:hAnsi="Times New Roman" w:eastAsia="宋体" w:cs="华文仿宋"/>
                <w:color w:val="000000"/>
              </w:rPr>
              <w:t>系统应支持主流操作系统平台，包括</w:t>
            </w:r>
            <w:r>
              <w:rPr>
                <w:rFonts w:hint="eastAsia" w:ascii="Times New Roman" w:hAnsi="Times New Roman" w:eastAsia="宋体" w:cs="华文仿宋"/>
                <w:color w:val="000000"/>
              </w:rPr>
              <w:t>但不限于</w:t>
            </w:r>
            <w:r>
              <w:rPr>
                <w:rFonts w:ascii="Times New Roman" w:hAnsi="Times New Roman" w:eastAsia="宋体" w:cs="华文仿宋"/>
                <w:color w:val="000000"/>
              </w:rPr>
              <w:t xml:space="preserve"> Windows、Android、iOS 等终端环境，并支持通过主流浏览器访问系统后台管理平台，以满足患者移动端和医护管理端的多终端访问需求。</w:t>
            </w:r>
          </w:p>
        </w:tc>
      </w:tr>
      <w:tr w14:paraId="51A3B3F3">
        <w:tblPrEx>
          <w:tblCellMar>
            <w:top w:w="0" w:type="dxa"/>
            <w:left w:w="0" w:type="dxa"/>
            <w:bottom w:w="0" w:type="dxa"/>
            <w:right w:w="0" w:type="dxa"/>
          </w:tblCellMar>
        </w:tblPrEx>
        <w:trPr>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3F1">
            <w:pPr>
              <w:pStyle w:val="10"/>
              <w:widowControl/>
              <w:numPr>
                <w:ilvl w:val="0"/>
                <w:numId w:val="4"/>
              </w:numPr>
              <w:snapToGrid w:val="0"/>
              <w:spacing w:before="120" w:beforeAutospacing="0" w:after="120" w:afterAutospacing="0"/>
              <w:ind w:left="482" w:right="57"/>
              <w:jc w:val="center"/>
              <w:textAlignment w:val="center"/>
              <w:rPr>
                <w:rFonts w:ascii="Times New Roman" w:hAnsi="Times New Roman" w:eastAsia="宋体" w:cs="Calibri"/>
                <w:color w:val="000000"/>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3F2">
            <w:pPr>
              <w:pStyle w:val="10"/>
              <w:widowControl/>
              <w:snapToGrid w:val="0"/>
              <w:spacing w:before="120" w:beforeAutospacing="0" w:after="120" w:afterAutospacing="0"/>
              <w:ind w:left="57" w:right="57"/>
              <w:rPr>
                <w:rFonts w:ascii="Times New Roman" w:hAnsi="Times New Roman" w:eastAsia="宋体" w:cs="Calibri"/>
                <w:color w:val="000000"/>
              </w:rPr>
            </w:pPr>
            <w:r>
              <w:rPr>
                <w:rFonts w:ascii="Times New Roman" w:hAnsi="Times New Roman" w:eastAsia="宋体" w:cs="华文仿宋"/>
                <w:color w:val="000000"/>
              </w:rPr>
              <w:t>系统应采用模块化系统架构设计，使系统能够根据不同研究项目需求灵活扩展功能模块，例如新增疾病管理模块或扩展研究中心。</w:t>
            </w:r>
          </w:p>
        </w:tc>
      </w:tr>
      <w:tr w14:paraId="51A3B3F6">
        <w:tblPrEx>
          <w:tblCellMar>
            <w:top w:w="0" w:type="dxa"/>
            <w:left w:w="0" w:type="dxa"/>
            <w:bottom w:w="0" w:type="dxa"/>
            <w:right w:w="0" w:type="dxa"/>
          </w:tblCellMar>
        </w:tblPrEx>
        <w:trPr>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3F4">
            <w:pPr>
              <w:pStyle w:val="10"/>
              <w:widowControl/>
              <w:numPr>
                <w:ilvl w:val="0"/>
                <w:numId w:val="4"/>
              </w:numPr>
              <w:snapToGrid w:val="0"/>
              <w:spacing w:before="120" w:beforeAutospacing="0" w:after="120" w:afterAutospacing="0"/>
              <w:ind w:left="482" w:right="57"/>
              <w:jc w:val="center"/>
              <w:textAlignment w:val="center"/>
              <w:rPr>
                <w:rFonts w:ascii="Times New Roman" w:hAnsi="Times New Roman" w:eastAsia="宋体" w:cs="Calibri"/>
                <w:color w:val="000000"/>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3F5">
            <w:pPr>
              <w:pStyle w:val="10"/>
              <w:widowControl/>
              <w:snapToGrid w:val="0"/>
              <w:spacing w:before="120" w:beforeAutospacing="0" w:after="120" w:afterAutospacing="0"/>
              <w:ind w:left="57" w:right="57"/>
              <w:rPr>
                <w:rFonts w:ascii="Times New Roman" w:hAnsi="Times New Roman" w:eastAsia="宋体" w:cs="Calibri"/>
                <w:color w:val="000000"/>
              </w:rPr>
            </w:pPr>
            <w:r>
              <w:rPr>
                <w:rFonts w:ascii="Times New Roman" w:hAnsi="Times New Roman" w:eastAsia="宋体" w:cs="Calibri"/>
                <w:color w:val="000000"/>
              </w:rPr>
              <w:t>系统应具备良好的系统扩展能力，支持插件化扩展机制，以便在未来研究项目中增加新的数据采集、数据分析或人工智能功能模块。</w:t>
            </w:r>
          </w:p>
        </w:tc>
      </w:tr>
      <w:tr w14:paraId="51A3B3FC">
        <w:tblPrEx>
          <w:tblCellMar>
            <w:top w:w="0" w:type="dxa"/>
            <w:left w:w="0" w:type="dxa"/>
            <w:bottom w:w="0" w:type="dxa"/>
            <w:right w:w="0" w:type="dxa"/>
          </w:tblCellMar>
        </w:tblPrEx>
        <w:trPr>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3FA">
            <w:pPr>
              <w:pStyle w:val="10"/>
              <w:widowControl/>
              <w:numPr>
                <w:ilvl w:val="0"/>
                <w:numId w:val="4"/>
              </w:numPr>
              <w:snapToGrid w:val="0"/>
              <w:spacing w:before="120" w:beforeAutospacing="0" w:after="120" w:afterAutospacing="0"/>
              <w:ind w:left="482" w:right="57"/>
              <w:jc w:val="center"/>
              <w:textAlignment w:val="center"/>
              <w:rPr>
                <w:rFonts w:ascii="Times New Roman" w:hAnsi="Times New Roman" w:eastAsia="宋体" w:cs="Calibri"/>
                <w:color w:val="000000"/>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3FB">
            <w:pPr>
              <w:pStyle w:val="10"/>
              <w:widowControl/>
              <w:snapToGrid w:val="0"/>
              <w:spacing w:before="120" w:beforeAutospacing="0" w:after="120" w:afterAutospacing="0"/>
              <w:ind w:left="57" w:right="57"/>
              <w:rPr>
                <w:rFonts w:ascii="Times New Roman" w:hAnsi="Times New Roman" w:eastAsia="宋体" w:cs="Calibri"/>
                <w:color w:val="000000"/>
              </w:rPr>
            </w:pPr>
            <w:r>
              <w:rPr>
                <w:rFonts w:ascii="Times New Roman" w:hAnsi="Times New Roman" w:eastAsia="宋体" w:cs="Calibri"/>
                <w:color w:val="000000"/>
              </w:rPr>
              <w:t>系统应支持通过移动端（如微信公众号）进行患者数据采集，并能够稳定处理来自大量患者的随访数据提交</w:t>
            </w:r>
          </w:p>
        </w:tc>
      </w:tr>
      <w:tr w14:paraId="51A3B408">
        <w:tblPrEx>
          <w:tblCellMar>
            <w:top w:w="0" w:type="dxa"/>
            <w:left w:w="0" w:type="dxa"/>
            <w:bottom w:w="0" w:type="dxa"/>
            <w:right w:w="0" w:type="dxa"/>
          </w:tblCellMar>
        </w:tblPrEx>
        <w:trPr>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406">
            <w:pPr>
              <w:pStyle w:val="10"/>
              <w:widowControl/>
              <w:numPr>
                <w:ilvl w:val="0"/>
                <w:numId w:val="4"/>
              </w:numPr>
              <w:snapToGrid w:val="0"/>
              <w:spacing w:before="120" w:beforeAutospacing="0" w:after="120" w:afterAutospacing="0"/>
              <w:ind w:left="482" w:right="57"/>
              <w:jc w:val="center"/>
              <w:textAlignment w:val="center"/>
              <w:rPr>
                <w:rFonts w:ascii="Times New Roman" w:hAnsi="Times New Roman" w:eastAsia="宋体" w:cs="Calibri"/>
                <w:color w:val="000000"/>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407">
            <w:pPr>
              <w:pStyle w:val="10"/>
              <w:widowControl/>
              <w:snapToGrid w:val="0"/>
              <w:spacing w:before="120" w:beforeAutospacing="0" w:after="120" w:afterAutospacing="0"/>
              <w:ind w:left="57" w:right="57"/>
              <w:rPr>
                <w:rFonts w:ascii="Times New Roman" w:hAnsi="Times New Roman" w:eastAsia="宋体" w:cs="Calibri"/>
                <w:color w:val="000000"/>
              </w:rPr>
            </w:pPr>
            <w:r>
              <w:rPr>
                <w:rFonts w:ascii="Times New Roman" w:hAnsi="Times New Roman" w:eastAsia="宋体" w:cs="Calibri"/>
                <w:color w:val="000000"/>
              </w:rPr>
              <w:t>系统应具备系统日志管理功能，包括用户访问日志、操作日志和系统运行日志，以便系统维护和问题排查。</w:t>
            </w:r>
          </w:p>
        </w:tc>
      </w:tr>
      <w:tr w14:paraId="51A3B40B">
        <w:tblPrEx>
          <w:tblCellMar>
            <w:top w:w="0" w:type="dxa"/>
            <w:left w:w="0" w:type="dxa"/>
            <w:bottom w:w="0" w:type="dxa"/>
            <w:right w:w="0" w:type="dxa"/>
          </w:tblCellMar>
        </w:tblPrEx>
        <w:trPr>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409">
            <w:pPr>
              <w:pStyle w:val="10"/>
              <w:widowControl/>
              <w:numPr>
                <w:ilvl w:val="0"/>
                <w:numId w:val="4"/>
              </w:numPr>
              <w:snapToGrid w:val="0"/>
              <w:spacing w:before="120" w:beforeAutospacing="0" w:after="120" w:afterAutospacing="0"/>
              <w:ind w:left="482" w:right="57"/>
              <w:jc w:val="center"/>
              <w:textAlignment w:val="center"/>
              <w:rPr>
                <w:rFonts w:ascii="Times New Roman" w:hAnsi="Times New Roman" w:eastAsia="宋体" w:cs="Calibri"/>
                <w:color w:val="000000"/>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40A">
            <w:pPr>
              <w:pStyle w:val="10"/>
              <w:widowControl/>
              <w:snapToGrid w:val="0"/>
              <w:spacing w:before="120" w:beforeAutospacing="0" w:after="120" w:afterAutospacing="0"/>
              <w:ind w:left="57" w:right="57"/>
              <w:rPr>
                <w:rFonts w:ascii="Times New Roman" w:hAnsi="Times New Roman" w:eastAsia="宋体" w:cs="Calibri"/>
                <w:color w:val="000000"/>
              </w:rPr>
            </w:pPr>
            <w:r>
              <w:rPr>
                <w:rFonts w:ascii="Times New Roman" w:hAnsi="Times New Roman" w:eastAsia="宋体" w:cs="Calibri"/>
                <w:color w:val="000000"/>
              </w:rPr>
              <w:t>系统应具备异常处理机制，当系统出现运行异常时能够提供明确的错误提示，并记录系统日志以便进行问题定位。</w:t>
            </w:r>
          </w:p>
        </w:tc>
      </w:tr>
      <w:tr w14:paraId="51A3B40E">
        <w:tblPrEx>
          <w:tblCellMar>
            <w:top w:w="0" w:type="dxa"/>
            <w:left w:w="0" w:type="dxa"/>
            <w:bottom w:w="0" w:type="dxa"/>
            <w:right w:w="0" w:type="dxa"/>
          </w:tblCellMar>
        </w:tblPrEx>
        <w:trPr>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40C">
            <w:pPr>
              <w:pStyle w:val="10"/>
              <w:widowControl/>
              <w:numPr>
                <w:ilvl w:val="0"/>
                <w:numId w:val="4"/>
              </w:numPr>
              <w:snapToGrid w:val="0"/>
              <w:spacing w:before="120" w:beforeAutospacing="0" w:after="120" w:afterAutospacing="0"/>
              <w:ind w:left="482" w:right="57"/>
              <w:jc w:val="center"/>
              <w:textAlignment w:val="center"/>
              <w:rPr>
                <w:rFonts w:ascii="Times New Roman" w:hAnsi="Times New Roman" w:eastAsia="宋体" w:cs="Calibri"/>
                <w:color w:val="000000"/>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40D">
            <w:pPr>
              <w:pStyle w:val="10"/>
              <w:widowControl/>
              <w:snapToGrid w:val="0"/>
              <w:spacing w:before="120" w:beforeAutospacing="0" w:after="120" w:afterAutospacing="0"/>
              <w:ind w:left="57" w:right="57"/>
              <w:rPr>
                <w:rFonts w:ascii="Times New Roman" w:hAnsi="Times New Roman" w:eastAsia="宋体" w:cs="Calibri"/>
                <w:color w:val="000000"/>
              </w:rPr>
            </w:pPr>
            <w:r>
              <w:rPr>
                <w:rFonts w:ascii="Times New Roman" w:hAnsi="Times New Roman" w:eastAsia="宋体" w:cs="Calibri"/>
                <w:color w:val="000000"/>
              </w:rPr>
              <w:t>系统应具备良好的系统性能和稳定性，能够支持多用户同时访问系统并保证系统响应速度。</w:t>
            </w:r>
          </w:p>
        </w:tc>
      </w:tr>
      <w:tr w14:paraId="51A3B411">
        <w:tblPrEx>
          <w:tblCellMar>
            <w:top w:w="0" w:type="dxa"/>
            <w:left w:w="0" w:type="dxa"/>
            <w:bottom w:w="0" w:type="dxa"/>
            <w:right w:w="0" w:type="dxa"/>
          </w:tblCellMar>
        </w:tblPrEx>
        <w:trPr>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40F">
            <w:pPr>
              <w:pStyle w:val="10"/>
              <w:widowControl/>
              <w:numPr>
                <w:ilvl w:val="0"/>
                <w:numId w:val="4"/>
              </w:numPr>
              <w:snapToGrid w:val="0"/>
              <w:spacing w:before="120" w:beforeAutospacing="0" w:after="120" w:afterAutospacing="0"/>
              <w:ind w:left="482" w:right="57"/>
              <w:jc w:val="center"/>
              <w:textAlignment w:val="center"/>
              <w:rPr>
                <w:rFonts w:ascii="Times New Roman" w:hAnsi="Times New Roman" w:eastAsia="宋体" w:cs="Calibri"/>
                <w:color w:val="000000"/>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410">
            <w:pPr>
              <w:pStyle w:val="10"/>
              <w:widowControl/>
              <w:snapToGrid w:val="0"/>
              <w:spacing w:before="120" w:beforeAutospacing="0" w:after="120" w:afterAutospacing="0"/>
              <w:ind w:left="57" w:right="57"/>
              <w:rPr>
                <w:rFonts w:ascii="Times New Roman" w:hAnsi="Times New Roman" w:eastAsia="宋体" w:cs="Calibri"/>
                <w:color w:val="000000"/>
              </w:rPr>
            </w:pPr>
            <w:r>
              <w:rPr>
                <w:rFonts w:ascii="Times New Roman" w:hAnsi="Times New Roman" w:eastAsia="宋体" w:cs="Calibri"/>
                <w:color w:val="000000"/>
              </w:rPr>
              <w:t>系统应具备数据备份和恢复机制，以保证系统数据安全并防止数据丢失。</w:t>
            </w:r>
          </w:p>
        </w:tc>
      </w:tr>
      <w:tr w14:paraId="51A3B414">
        <w:tblPrEx>
          <w:tblCellMar>
            <w:top w:w="0" w:type="dxa"/>
            <w:left w:w="0" w:type="dxa"/>
            <w:bottom w:w="0" w:type="dxa"/>
            <w:right w:w="0" w:type="dxa"/>
          </w:tblCellMar>
        </w:tblPrEx>
        <w:trPr>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412">
            <w:pPr>
              <w:pStyle w:val="10"/>
              <w:widowControl/>
              <w:numPr>
                <w:ilvl w:val="0"/>
                <w:numId w:val="4"/>
              </w:numPr>
              <w:snapToGrid w:val="0"/>
              <w:spacing w:before="120" w:beforeAutospacing="0" w:after="120" w:afterAutospacing="0"/>
              <w:ind w:left="482" w:right="57"/>
              <w:jc w:val="center"/>
              <w:textAlignment w:val="center"/>
              <w:rPr>
                <w:rFonts w:ascii="Times New Roman" w:hAnsi="Times New Roman" w:eastAsia="宋体" w:cs="Calibri"/>
                <w:color w:val="000000"/>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413">
            <w:pPr>
              <w:pStyle w:val="10"/>
              <w:widowControl/>
              <w:snapToGrid w:val="0"/>
              <w:spacing w:before="120" w:beforeAutospacing="0" w:after="120" w:afterAutospacing="0"/>
              <w:ind w:left="57" w:right="57"/>
              <w:rPr>
                <w:rFonts w:ascii="Times New Roman" w:hAnsi="Times New Roman" w:eastAsia="宋体" w:cs="Calibri"/>
                <w:color w:val="000000"/>
              </w:rPr>
            </w:pPr>
            <w:r>
              <w:rPr>
                <w:rFonts w:ascii="Times New Roman" w:hAnsi="Times New Roman" w:eastAsia="宋体" w:cs="Calibri"/>
                <w:color w:val="000000"/>
              </w:rPr>
              <w:t>系统应支持基于角色的权限管理机制，例如患者、研究人员、研究管理员和牵头中心管理员等不同角色应具备不同的数据访问权限。</w:t>
            </w:r>
          </w:p>
        </w:tc>
      </w:tr>
      <w:tr w14:paraId="51A3B41A">
        <w:tblPrEx>
          <w:tblCellMar>
            <w:top w:w="0" w:type="dxa"/>
            <w:left w:w="0" w:type="dxa"/>
            <w:bottom w:w="0" w:type="dxa"/>
            <w:right w:w="0" w:type="dxa"/>
          </w:tblCellMar>
        </w:tblPrEx>
        <w:trPr>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418">
            <w:pPr>
              <w:pStyle w:val="10"/>
              <w:widowControl/>
              <w:numPr>
                <w:ilvl w:val="0"/>
                <w:numId w:val="4"/>
              </w:numPr>
              <w:snapToGrid w:val="0"/>
              <w:spacing w:before="120" w:beforeAutospacing="0" w:after="120" w:afterAutospacing="0"/>
              <w:ind w:left="482" w:right="57"/>
              <w:jc w:val="center"/>
              <w:textAlignment w:val="center"/>
              <w:rPr>
                <w:rFonts w:ascii="Times New Roman" w:hAnsi="Times New Roman" w:eastAsia="宋体" w:cs="Calibri"/>
                <w:color w:val="000000"/>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419">
            <w:pPr>
              <w:pStyle w:val="10"/>
              <w:widowControl/>
              <w:snapToGrid w:val="0"/>
              <w:spacing w:before="120" w:beforeAutospacing="0" w:after="120" w:afterAutospacing="0"/>
              <w:ind w:left="57" w:right="57"/>
              <w:rPr>
                <w:rFonts w:ascii="Times New Roman" w:hAnsi="Times New Roman" w:eastAsia="宋体" w:cs="Calibri"/>
                <w:color w:val="000000"/>
              </w:rPr>
            </w:pPr>
            <w:r>
              <w:rPr>
                <w:rFonts w:ascii="Times New Roman" w:hAnsi="Times New Roman" w:eastAsia="宋体" w:cs="Calibri"/>
                <w:color w:val="000000"/>
              </w:rPr>
              <w:t>系统应支持研究数据导出功能，允许研究人员根据研究需求导出数据用于统计分析或科研研究。</w:t>
            </w:r>
          </w:p>
        </w:tc>
      </w:tr>
      <w:tr w14:paraId="51A3B41D">
        <w:tblPrEx>
          <w:tblCellMar>
            <w:top w:w="0" w:type="dxa"/>
            <w:left w:w="0" w:type="dxa"/>
            <w:bottom w:w="0" w:type="dxa"/>
            <w:right w:w="0" w:type="dxa"/>
          </w:tblCellMar>
        </w:tblPrEx>
        <w:trPr>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41B">
            <w:pPr>
              <w:pStyle w:val="10"/>
              <w:widowControl/>
              <w:numPr>
                <w:ilvl w:val="0"/>
                <w:numId w:val="4"/>
              </w:numPr>
              <w:snapToGrid w:val="0"/>
              <w:spacing w:before="120" w:beforeAutospacing="0" w:after="120" w:afterAutospacing="0"/>
              <w:ind w:left="482" w:right="57"/>
              <w:jc w:val="center"/>
              <w:textAlignment w:val="center"/>
              <w:rPr>
                <w:rFonts w:ascii="Times New Roman" w:hAnsi="Times New Roman" w:eastAsia="宋体" w:cs="Calibri"/>
                <w:color w:val="000000"/>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41C">
            <w:pPr>
              <w:pStyle w:val="10"/>
              <w:widowControl/>
              <w:snapToGrid w:val="0"/>
              <w:spacing w:before="120" w:beforeAutospacing="0" w:after="120" w:afterAutospacing="0"/>
              <w:ind w:left="57" w:right="57"/>
              <w:rPr>
                <w:rFonts w:ascii="Times New Roman" w:hAnsi="Times New Roman" w:eastAsia="宋体" w:cs="Calibri"/>
                <w:color w:val="000000"/>
              </w:rPr>
            </w:pPr>
            <w:r>
              <w:rPr>
                <w:rFonts w:ascii="Times New Roman" w:hAnsi="Times New Roman" w:eastAsia="宋体" w:cs="Calibri"/>
                <w:color w:val="000000"/>
              </w:rPr>
              <w:t>系统应符合国家医疗数据安全和隐私保护相关法律法规要求，并保证系统数据仅用于授权研究和医疗管理用途。</w:t>
            </w:r>
          </w:p>
        </w:tc>
      </w:tr>
      <w:tr w14:paraId="51A3B420">
        <w:tblPrEx>
          <w:tblCellMar>
            <w:top w:w="0" w:type="dxa"/>
            <w:left w:w="0" w:type="dxa"/>
            <w:bottom w:w="0" w:type="dxa"/>
            <w:right w:w="0" w:type="dxa"/>
          </w:tblCellMar>
        </w:tblPrEx>
        <w:trPr>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41E">
            <w:pPr>
              <w:pStyle w:val="10"/>
              <w:widowControl/>
              <w:numPr>
                <w:ilvl w:val="0"/>
                <w:numId w:val="4"/>
              </w:numPr>
              <w:snapToGrid w:val="0"/>
              <w:spacing w:before="120" w:beforeAutospacing="0" w:after="120" w:afterAutospacing="0"/>
              <w:ind w:left="482" w:right="57"/>
              <w:jc w:val="center"/>
              <w:textAlignment w:val="center"/>
              <w:rPr>
                <w:rFonts w:ascii="Times New Roman" w:hAnsi="Times New Roman" w:eastAsia="宋体" w:cs="Calibri"/>
                <w:color w:val="000000"/>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41F">
            <w:pPr>
              <w:pStyle w:val="10"/>
              <w:widowControl/>
              <w:snapToGrid w:val="0"/>
              <w:spacing w:before="120" w:beforeAutospacing="0" w:after="120" w:afterAutospacing="0"/>
              <w:ind w:left="57" w:right="57"/>
              <w:rPr>
                <w:rFonts w:ascii="Times New Roman" w:hAnsi="Times New Roman" w:eastAsia="宋体" w:cs="Calibri"/>
                <w:color w:val="000000"/>
              </w:rPr>
            </w:pPr>
            <w:r>
              <w:rPr>
                <w:rFonts w:ascii="Times New Roman" w:hAnsi="Times New Roman" w:eastAsia="宋体" w:cs="Calibri"/>
                <w:color w:val="000000"/>
              </w:rPr>
              <w:t>系统应支持系统升级和功能扩展，以便未来增加新的研究项目或新的疾病管理模块。</w:t>
            </w:r>
          </w:p>
        </w:tc>
      </w:tr>
      <w:tr w14:paraId="51A3B428">
        <w:tblPrEx>
          <w:tblCellMar>
            <w:top w:w="0" w:type="dxa"/>
            <w:left w:w="0" w:type="dxa"/>
            <w:bottom w:w="0" w:type="dxa"/>
            <w:right w:w="0" w:type="dxa"/>
          </w:tblCellMar>
        </w:tblPrEx>
        <w:trPr>
          <w:jc w:val="center"/>
        </w:trPr>
        <w:tc>
          <w:tcPr>
            <w:tcW w:w="8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421">
            <w:pPr>
              <w:pStyle w:val="10"/>
              <w:widowControl/>
              <w:numPr>
                <w:ilvl w:val="0"/>
                <w:numId w:val="4"/>
              </w:numPr>
              <w:snapToGrid w:val="0"/>
              <w:spacing w:before="120" w:beforeAutospacing="0" w:after="120" w:afterAutospacing="0"/>
              <w:ind w:left="482" w:right="57"/>
              <w:jc w:val="center"/>
              <w:textAlignment w:val="center"/>
              <w:rPr>
                <w:rFonts w:ascii="Times New Roman" w:hAnsi="Times New Roman" w:eastAsia="宋体" w:cs="Cambria"/>
                <w:color w:val="000000"/>
              </w:rPr>
            </w:pPr>
          </w:p>
        </w:tc>
        <w:tc>
          <w:tcPr>
            <w:tcW w:w="766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51A3B427">
            <w:pPr>
              <w:pStyle w:val="10"/>
              <w:widowControl/>
              <w:snapToGrid w:val="0"/>
              <w:spacing w:before="120" w:beforeAutospacing="0" w:after="120" w:afterAutospacing="0"/>
              <w:ind w:left="57" w:right="57"/>
              <w:rPr>
                <w:rFonts w:ascii="Times New Roman" w:hAnsi="Times New Roman" w:eastAsia="宋体" w:cs="华文仿宋"/>
                <w:color w:val="000000"/>
              </w:rPr>
            </w:pPr>
            <w:r>
              <w:rPr>
                <w:rFonts w:ascii="Times New Roman" w:hAnsi="Times New Roman" w:eastAsia="宋体" w:cs="华文仿宋"/>
                <w:color w:val="000000"/>
              </w:rPr>
              <w:t>系统应支持人工智能模块扩展，以便未来集成生成式人工智能数据分析能力，用于患者健康趋势分析和科研数据挖掘。</w:t>
            </w:r>
          </w:p>
        </w:tc>
      </w:tr>
    </w:tbl>
    <w:p w14:paraId="4384B989">
      <w:pPr>
        <w:pStyle w:val="4"/>
        <w:rPr>
          <w:rFonts w:ascii="Times New Roman" w:hAnsi="Times New Roman" w:eastAsia="宋体"/>
          <w:sz w:val="24"/>
        </w:rPr>
      </w:pPr>
    </w:p>
    <w:p w14:paraId="6B08514B">
      <w:pPr>
        <w:spacing w:line="520" w:lineRule="exact"/>
        <w:rPr>
          <w:rFonts w:asciiTheme="minorEastAsia" w:hAnsiTheme="minorEastAsia" w:cstheme="minorEastAsia"/>
          <w:b/>
          <w:bCs/>
          <w:sz w:val="24"/>
        </w:rPr>
      </w:pPr>
      <w:r>
        <w:rPr>
          <w:rFonts w:hint="eastAsia" w:asciiTheme="minorEastAsia" w:hAnsiTheme="minorEastAsia" w:cstheme="minorEastAsia"/>
          <w:b/>
          <w:bCs/>
          <w:sz w:val="24"/>
        </w:rPr>
        <w:t>四、 商务要求</w:t>
      </w:r>
    </w:p>
    <w:p w14:paraId="1C4D3D5E">
      <w:pPr>
        <w:pStyle w:val="4"/>
        <w:ind w:left="0" w:leftChars="0"/>
      </w:pPr>
    </w:p>
    <w:tbl>
      <w:tblPr>
        <w:tblStyle w:val="19"/>
        <w:tblW w:w="500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32" w:type="dxa"/>
          <w:left w:w="64" w:type="dxa"/>
          <w:bottom w:w="32" w:type="dxa"/>
          <w:right w:w="64" w:type="dxa"/>
        </w:tblCellMar>
      </w:tblPr>
      <w:tblGrid>
        <w:gridCol w:w="471"/>
        <w:gridCol w:w="1184"/>
        <w:gridCol w:w="6787"/>
      </w:tblGrid>
      <w:tr w14:paraId="28673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870" w:hRule="atLeast"/>
          <w:jc w:val="center"/>
        </w:trPr>
        <w:tc>
          <w:tcPr>
            <w:tcW w:w="279" w:type="pct"/>
            <w:vMerge w:val="restart"/>
            <w:vAlign w:val="center"/>
          </w:tcPr>
          <w:p w14:paraId="3A322FE0">
            <w:pPr>
              <w:snapToGrid w:val="0"/>
              <w:spacing w:line="360" w:lineRule="auto"/>
              <w:jc w:val="center"/>
              <w:rPr>
                <w:rFonts w:ascii="宋体" w:hAnsi="宋体" w:eastAsia="宋体" w:cs="宋体"/>
                <w:spacing w:val="1"/>
                <w:szCs w:val="21"/>
                <w:lang w:eastAsia="en-US"/>
              </w:rPr>
            </w:pPr>
            <w:r>
              <w:rPr>
                <w:rFonts w:hint="eastAsia" w:ascii="宋体" w:hAnsi="宋体" w:eastAsia="宋体" w:cs="宋体"/>
                <w:spacing w:val="1"/>
                <w:szCs w:val="21"/>
                <w:lang w:eastAsia="en-US"/>
              </w:rPr>
              <w:t>商务要求</w:t>
            </w:r>
          </w:p>
        </w:tc>
        <w:tc>
          <w:tcPr>
            <w:tcW w:w="701" w:type="pct"/>
            <w:vAlign w:val="center"/>
          </w:tcPr>
          <w:p w14:paraId="5D721270">
            <w:pPr>
              <w:pStyle w:val="20"/>
              <w:snapToGrid w:val="0"/>
              <w:spacing w:before="72" w:line="360" w:lineRule="auto"/>
              <w:jc w:val="center"/>
              <w:rPr>
                <w:spacing w:val="1"/>
                <w:sz w:val="21"/>
                <w:szCs w:val="21"/>
              </w:rPr>
            </w:pPr>
            <w:r>
              <w:rPr>
                <w:rFonts w:hint="eastAsia"/>
                <w:spacing w:val="1"/>
                <w:sz w:val="21"/>
                <w:szCs w:val="21"/>
              </w:rPr>
              <w:t>合同签订</w:t>
            </w:r>
          </w:p>
        </w:tc>
        <w:tc>
          <w:tcPr>
            <w:tcW w:w="4019" w:type="pct"/>
            <w:vAlign w:val="center"/>
          </w:tcPr>
          <w:p w14:paraId="2924DA79">
            <w:pPr>
              <w:pStyle w:val="20"/>
              <w:snapToGrid w:val="0"/>
              <w:spacing w:before="28" w:line="360" w:lineRule="auto"/>
              <w:ind w:left="239" w:leftChars="114" w:right="18" w:firstLine="192" w:firstLineChars="91"/>
              <w:rPr>
                <w:spacing w:val="1"/>
                <w:sz w:val="21"/>
                <w:szCs w:val="21"/>
                <w:lang w:eastAsia="zh-CN"/>
              </w:rPr>
            </w:pPr>
            <w:r>
              <w:rPr>
                <w:rFonts w:hint="eastAsia"/>
                <w:spacing w:val="1"/>
                <w:sz w:val="21"/>
                <w:szCs w:val="21"/>
                <w:lang w:eastAsia="zh-CN"/>
              </w:rPr>
              <w:t>签订合同后</w:t>
            </w:r>
            <w:r>
              <w:rPr>
                <w:spacing w:val="1"/>
                <w:sz w:val="21"/>
                <w:szCs w:val="21"/>
                <w:lang w:eastAsia="zh-CN"/>
              </w:rPr>
              <w:t xml:space="preserve"> </w:t>
            </w:r>
            <w:r>
              <w:rPr>
                <w:rFonts w:hint="eastAsia"/>
                <w:spacing w:val="1"/>
                <w:sz w:val="21"/>
                <w:szCs w:val="21"/>
                <w:lang w:eastAsia="zh-CN"/>
              </w:rPr>
              <w:t>90</w:t>
            </w:r>
            <w:r>
              <w:rPr>
                <w:spacing w:val="1"/>
                <w:sz w:val="21"/>
                <w:szCs w:val="21"/>
                <w:lang w:eastAsia="zh-CN"/>
              </w:rPr>
              <w:t xml:space="preserve"> </w:t>
            </w:r>
            <w:r>
              <w:rPr>
                <w:rFonts w:hint="eastAsia"/>
                <w:spacing w:val="1"/>
                <w:sz w:val="21"/>
                <w:szCs w:val="21"/>
                <w:lang w:eastAsia="zh-CN"/>
              </w:rPr>
              <w:t>日历日内交付，并自验收合格之日起提供≥1年的免费运维服务（该费用包含在响应报价中，采购人不另行支付任何费用）。</w:t>
            </w:r>
          </w:p>
        </w:tc>
      </w:tr>
      <w:tr w14:paraId="5546B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2146" w:hRule="atLeast"/>
          <w:jc w:val="center"/>
        </w:trPr>
        <w:tc>
          <w:tcPr>
            <w:tcW w:w="279" w:type="pct"/>
            <w:vMerge w:val="continue"/>
            <w:vAlign w:val="center"/>
          </w:tcPr>
          <w:p w14:paraId="7FD8BEBC">
            <w:pPr>
              <w:snapToGrid w:val="0"/>
              <w:spacing w:line="360" w:lineRule="auto"/>
              <w:jc w:val="center"/>
              <w:rPr>
                <w:rFonts w:ascii="宋体" w:hAnsi="宋体" w:eastAsia="宋体" w:cs="宋体"/>
                <w:spacing w:val="1"/>
                <w:szCs w:val="21"/>
              </w:rPr>
            </w:pPr>
          </w:p>
        </w:tc>
        <w:tc>
          <w:tcPr>
            <w:tcW w:w="701" w:type="pct"/>
            <w:vAlign w:val="center"/>
          </w:tcPr>
          <w:p w14:paraId="09A4CB93">
            <w:pPr>
              <w:pStyle w:val="20"/>
              <w:snapToGrid w:val="0"/>
              <w:spacing w:before="72" w:line="360" w:lineRule="auto"/>
              <w:jc w:val="center"/>
              <w:rPr>
                <w:spacing w:val="1"/>
                <w:sz w:val="21"/>
                <w:szCs w:val="21"/>
              </w:rPr>
            </w:pPr>
            <w:r>
              <w:rPr>
                <w:rFonts w:hint="eastAsia"/>
                <w:spacing w:val="1"/>
                <w:sz w:val="21"/>
                <w:szCs w:val="21"/>
              </w:rPr>
              <w:t>验收要求</w:t>
            </w:r>
          </w:p>
        </w:tc>
        <w:tc>
          <w:tcPr>
            <w:tcW w:w="4019" w:type="pct"/>
            <w:vAlign w:val="center"/>
          </w:tcPr>
          <w:p w14:paraId="46386FF3">
            <w:pPr>
              <w:pStyle w:val="20"/>
              <w:snapToGrid w:val="0"/>
              <w:spacing w:before="28" w:line="360" w:lineRule="auto"/>
              <w:ind w:left="56" w:right="18" w:hanging="18"/>
              <w:rPr>
                <w:spacing w:val="1"/>
                <w:sz w:val="21"/>
                <w:szCs w:val="21"/>
                <w:lang w:eastAsia="zh-CN"/>
              </w:rPr>
            </w:pPr>
            <w:r>
              <w:rPr>
                <w:rFonts w:hint="eastAsia"/>
                <w:spacing w:val="1"/>
                <w:sz w:val="21"/>
                <w:szCs w:val="21"/>
                <w:lang w:eastAsia="zh-CN"/>
              </w:rPr>
              <w:t>（</w:t>
            </w:r>
            <w:r>
              <w:rPr>
                <w:spacing w:val="1"/>
                <w:sz w:val="21"/>
                <w:szCs w:val="21"/>
                <w:lang w:eastAsia="zh-CN"/>
              </w:rPr>
              <w:t>1</w:t>
            </w:r>
            <w:r>
              <w:rPr>
                <w:rFonts w:hint="eastAsia"/>
                <w:spacing w:val="1"/>
                <w:sz w:val="21"/>
                <w:szCs w:val="21"/>
                <w:lang w:eastAsia="zh-CN"/>
              </w:rPr>
              <w:t>）投标人货物或服务经过双方检验认可后，签署验收报告，系统维保期自验收合格之日起算。</w:t>
            </w:r>
          </w:p>
          <w:p w14:paraId="03840AF8">
            <w:pPr>
              <w:pStyle w:val="20"/>
              <w:snapToGrid w:val="0"/>
              <w:spacing w:before="28" w:line="360" w:lineRule="auto"/>
              <w:ind w:left="56" w:right="18" w:hanging="18"/>
              <w:rPr>
                <w:spacing w:val="1"/>
                <w:sz w:val="21"/>
                <w:szCs w:val="21"/>
                <w:lang w:eastAsia="zh-CN"/>
              </w:rPr>
            </w:pPr>
            <w:r>
              <w:rPr>
                <w:rFonts w:hint="eastAsia"/>
                <w:spacing w:val="1"/>
                <w:sz w:val="21"/>
                <w:szCs w:val="21"/>
                <w:lang w:eastAsia="zh-CN"/>
              </w:rPr>
              <w:t>（</w:t>
            </w:r>
            <w:r>
              <w:rPr>
                <w:spacing w:val="1"/>
                <w:sz w:val="21"/>
                <w:szCs w:val="21"/>
                <w:lang w:eastAsia="zh-CN"/>
              </w:rPr>
              <w:t>2</w:t>
            </w:r>
            <w:r>
              <w:rPr>
                <w:rFonts w:hint="eastAsia"/>
                <w:spacing w:val="1"/>
                <w:sz w:val="21"/>
                <w:szCs w:val="21"/>
                <w:lang w:eastAsia="zh-CN"/>
              </w:rPr>
              <w:t>）当满足以下条件时，采购人才向中标人签发验收报告：</w:t>
            </w:r>
          </w:p>
          <w:p w14:paraId="4404DB18">
            <w:pPr>
              <w:pStyle w:val="20"/>
              <w:snapToGrid w:val="0"/>
              <w:spacing w:before="28" w:line="360" w:lineRule="auto"/>
              <w:ind w:left="239" w:leftChars="114" w:right="18" w:firstLine="192" w:firstLineChars="91"/>
              <w:rPr>
                <w:spacing w:val="1"/>
                <w:sz w:val="21"/>
                <w:szCs w:val="21"/>
                <w:lang w:eastAsia="zh-CN"/>
              </w:rPr>
            </w:pPr>
            <w:r>
              <w:rPr>
                <w:spacing w:val="1"/>
                <w:sz w:val="21"/>
                <w:szCs w:val="21"/>
                <w:lang w:eastAsia="zh-CN"/>
              </w:rPr>
              <w:t>2.1中标人已按照合同规定提供</w:t>
            </w:r>
            <w:r>
              <w:rPr>
                <w:rFonts w:hint="eastAsia"/>
                <w:spacing w:val="1"/>
                <w:sz w:val="21"/>
                <w:szCs w:val="21"/>
                <w:lang w:eastAsia="zh-CN"/>
              </w:rPr>
              <w:t>系统完整的技术资料。</w:t>
            </w:r>
          </w:p>
          <w:p w14:paraId="7A42361E">
            <w:pPr>
              <w:pStyle w:val="20"/>
              <w:snapToGrid w:val="0"/>
              <w:spacing w:before="28" w:line="360" w:lineRule="auto"/>
              <w:ind w:left="239" w:leftChars="114" w:right="18" w:firstLine="192" w:firstLineChars="91"/>
              <w:rPr>
                <w:spacing w:val="1"/>
                <w:sz w:val="21"/>
                <w:szCs w:val="21"/>
                <w:lang w:eastAsia="zh-CN"/>
              </w:rPr>
            </w:pPr>
            <w:r>
              <w:rPr>
                <w:spacing w:val="1"/>
                <w:sz w:val="21"/>
                <w:szCs w:val="21"/>
                <w:lang w:eastAsia="zh-CN"/>
              </w:rPr>
              <w:t>2.2标的物符合招标文件技术规格书的要求，性能满足要求。</w:t>
            </w:r>
          </w:p>
          <w:p w14:paraId="07FC4E02">
            <w:pPr>
              <w:pStyle w:val="20"/>
              <w:snapToGrid w:val="0"/>
              <w:spacing w:before="28" w:line="360" w:lineRule="auto"/>
              <w:ind w:left="239" w:leftChars="114" w:right="18" w:firstLine="192" w:firstLineChars="91"/>
              <w:rPr>
                <w:spacing w:val="1"/>
                <w:sz w:val="21"/>
                <w:szCs w:val="21"/>
                <w:lang w:eastAsia="zh-CN"/>
              </w:rPr>
            </w:pPr>
            <w:r>
              <w:rPr>
                <w:spacing w:val="1"/>
                <w:sz w:val="21"/>
                <w:szCs w:val="21"/>
                <w:lang w:eastAsia="zh-CN"/>
              </w:rPr>
              <w:t>2.3</w:t>
            </w:r>
            <w:r>
              <w:rPr>
                <w:rFonts w:hint="eastAsia"/>
                <w:spacing w:val="1"/>
                <w:sz w:val="21"/>
                <w:szCs w:val="21"/>
                <w:lang w:eastAsia="zh-CN"/>
              </w:rPr>
              <w:t>培训系统使用部门至少</w:t>
            </w:r>
            <w:r>
              <w:rPr>
                <w:spacing w:val="1"/>
                <w:sz w:val="21"/>
                <w:szCs w:val="21"/>
                <w:lang w:eastAsia="zh-CN"/>
              </w:rPr>
              <w:t>3</w:t>
            </w:r>
            <w:r>
              <w:rPr>
                <w:rFonts w:hint="eastAsia"/>
                <w:spacing w:val="1"/>
                <w:sz w:val="21"/>
                <w:szCs w:val="21"/>
                <w:lang w:eastAsia="zh-CN"/>
              </w:rPr>
              <w:t>人熟悉掌握系统操作和相关配置。</w:t>
            </w:r>
          </w:p>
          <w:p w14:paraId="759C2BC4">
            <w:pPr>
              <w:pStyle w:val="20"/>
              <w:snapToGrid w:val="0"/>
              <w:spacing w:before="28" w:line="360" w:lineRule="auto"/>
              <w:ind w:left="239" w:leftChars="114" w:right="18" w:firstLine="192" w:firstLineChars="91"/>
              <w:rPr>
                <w:spacing w:val="1"/>
                <w:sz w:val="21"/>
                <w:szCs w:val="21"/>
                <w:lang w:eastAsia="zh-CN"/>
              </w:rPr>
            </w:pPr>
            <w:r>
              <w:rPr>
                <w:spacing w:val="1"/>
                <w:sz w:val="21"/>
                <w:szCs w:val="21"/>
                <w:lang w:eastAsia="zh-CN"/>
              </w:rPr>
              <w:t xml:space="preserve">2.4 </w:t>
            </w:r>
            <w:r>
              <w:rPr>
                <w:rFonts w:hint="eastAsia"/>
                <w:spacing w:val="1"/>
                <w:sz w:val="21"/>
                <w:szCs w:val="21"/>
                <w:lang w:eastAsia="zh-CN"/>
              </w:rPr>
              <w:t>提供系统数据库完整灾备方案。</w:t>
            </w:r>
          </w:p>
        </w:tc>
      </w:tr>
      <w:tr w14:paraId="29F19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1819" w:hRule="atLeast"/>
          <w:jc w:val="center"/>
        </w:trPr>
        <w:tc>
          <w:tcPr>
            <w:tcW w:w="279" w:type="pct"/>
            <w:vMerge w:val="continue"/>
            <w:vAlign w:val="center"/>
          </w:tcPr>
          <w:p w14:paraId="30F32E39">
            <w:pPr>
              <w:snapToGrid w:val="0"/>
              <w:spacing w:line="360" w:lineRule="auto"/>
              <w:jc w:val="center"/>
              <w:rPr>
                <w:rFonts w:ascii="宋体" w:hAnsi="宋体" w:eastAsia="宋体" w:cs="宋体"/>
                <w:spacing w:val="1"/>
                <w:szCs w:val="21"/>
              </w:rPr>
            </w:pPr>
          </w:p>
        </w:tc>
        <w:tc>
          <w:tcPr>
            <w:tcW w:w="701" w:type="pct"/>
            <w:vAlign w:val="center"/>
          </w:tcPr>
          <w:p w14:paraId="390505A6">
            <w:pPr>
              <w:pStyle w:val="20"/>
              <w:snapToGrid w:val="0"/>
              <w:spacing w:before="72" w:line="360" w:lineRule="auto"/>
              <w:jc w:val="center"/>
              <w:rPr>
                <w:spacing w:val="1"/>
                <w:sz w:val="21"/>
                <w:szCs w:val="21"/>
              </w:rPr>
            </w:pPr>
            <w:r>
              <w:rPr>
                <w:rFonts w:hint="eastAsia"/>
                <w:spacing w:val="1"/>
                <w:sz w:val="21"/>
                <w:szCs w:val="21"/>
              </w:rPr>
              <w:t>售后服务</w:t>
            </w:r>
          </w:p>
        </w:tc>
        <w:tc>
          <w:tcPr>
            <w:tcW w:w="4019" w:type="pct"/>
            <w:vAlign w:val="center"/>
          </w:tcPr>
          <w:p w14:paraId="51E26695">
            <w:pPr>
              <w:widowControl/>
              <w:spacing w:line="360" w:lineRule="auto"/>
              <w:rPr>
                <w:rFonts w:ascii="宋体" w:hAnsi="宋体" w:eastAsia="宋体" w:cs="宋体"/>
                <w:spacing w:val="1"/>
                <w:szCs w:val="21"/>
              </w:rPr>
            </w:pPr>
            <w:r>
              <w:rPr>
                <w:rFonts w:hint="eastAsia" w:ascii="宋体" w:hAnsi="宋体" w:eastAsia="宋体" w:cs="宋体"/>
                <w:spacing w:val="1"/>
                <w:szCs w:val="21"/>
              </w:rPr>
              <w:t>（</w:t>
            </w:r>
            <w:r>
              <w:rPr>
                <w:rFonts w:ascii="宋体" w:hAnsi="宋体" w:eastAsia="宋体" w:cs="宋体"/>
                <w:spacing w:val="1"/>
                <w:szCs w:val="21"/>
              </w:rPr>
              <w:t>1</w:t>
            </w:r>
            <w:r>
              <w:rPr>
                <w:rFonts w:hint="eastAsia" w:ascii="宋体" w:hAnsi="宋体" w:eastAsia="宋体" w:cs="宋体"/>
                <w:spacing w:val="1"/>
                <w:szCs w:val="21"/>
              </w:rPr>
              <w:t>）免费维护期</w:t>
            </w:r>
            <w:r>
              <w:rPr>
                <w:rFonts w:ascii="宋体" w:hAnsi="宋体" w:eastAsia="宋体" w:cs="宋体"/>
                <w:spacing w:val="1"/>
                <w:szCs w:val="21"/>
              </w:rPr>
              <w:t xml:space="preserve"> </w:t>
            </w:r>
            <w:r>
              <w:rPr>
                <w:rFonts w:hint="eastAsia" w:ascii="宋体" w:hAnsi="宋体" w:eastAsia="宋体" w:cs="宋体"/>
                <w:spacing w:val="1"/>
                <w:szCs w:val="21"/>
              </w:rPr>
              <w:t>≥1</w:t>
            </w:r>
            <w:r>
              <w:rPr>
                <w:rFonts w:ascii="宋体" w:hAnsi="宋体" w:eastAsia="宋体" w:cs="宋体"/>
                <w:spacing w:val="1"/>
                <w:szCs w:val="21"/>
              </w:rPr>
              <w:t xml:space="preserve"> </w:t>
            </w:r>
            <w:r>
              <w:rPr>
                <w:rFonts w:hint="eastAsia" w:ascii="宋体" w:hAnsi="宋体" w:eastAsia="宋体" w:cs="宋体"/>
                <w:spacing w:val="1"/>
                <w:szCs w:val="21"/>
              </w:rPr>
              <w:t>年，时间自验收合格之日起计算。</w:t>
            </w:r>
          </w:p>
          <w:p w14:paraId="5001D52D">
            <w:pPr>
              <w:pStyle w:val="20"/>
              <w:snapToGrid w:val="0"/>
              <w:spacing w:before="28" w:line="360" w:lineRule="auto"/>
              <w:ind w:left="56" w:right="18" w:hanging="18"/>
              <w:rPr>
                <w:spacing w:val="1"/>
                <w:sz w:val="21"/>
                <w:szCs w:val="21"/>
                <w:lang w:eastAsia="zh-CN"/>
              </w:rPr>
            </w:pPr>
            <w:r>
              <w:rPr>
                <w:rFonts w:hint="eastAsia"/>
                <w:spacing w:val="1"/>
                <w:sz w:val="21"/>
                <w:szCs w:val="21"/>
                <w:lang w:eastAsia="zh-CN"/>
              </w:rPr>
              <w:t>（</w:t>
            </w:r>
            <w:r>
              <w:rPr>
                <w:spacing w:val="1"/>
                <w:sz w:val="21"/>
                <w:szCs w:val="21"/>
                <w:lang w:eastAsia="zh-CN"/>
              </w:rPr>
              <w:t>2</w:t>
            </w:r>
            <w:r>
              <w:rPr>
                <w:rFonts w:hint="eastAsia"/>
                <w:spacing w:val="1"/>
                <w:sz w:val="21"/>
                <w:szCs w:val="21"/>
                <w:lang w:eastAsia="zh-CN"/>
              </w:rPr>
              <w:t>）项目免费维护期满后，后期年度保修费用不超过中标金额的8</w:t>
            </w:r>
            <w:r>
              <w:rPr>
                <w:spacing w:val="1"/>
                <w:sz w:val="21"/>
                <w:szCs w:val="21"/>
                <w:lang w:eastAsia="zh-CN"/>
              </w:rPr>
              <w:t>%</w:t>
            </w:r>
            <w:r>
              <w:rPr>
                <w:rFonts w:hint="eastAsia"/>
                <w:spacing w:val="1"/>
                <w:sz w:val="21"/>
                <w:szCs w:val="21"/>
                <w:lang w:eastAsia="zh-CN"/>
              </w:rPr>
              <w:t>/年。</w:t>
            </w:r>
          </w:p>
          <w:p w14:paraId="3C16D3AD">
            <w:pPr>
              <w:pStyle w:val="20"/>
              <w:snapToGrid w:val="0"/>
              <w:spacing w:before="28" w:line="360" w:lineRule="auto"/>
              <w:ind w:left="56" w:right="18" w:hanging="18"/>
              <w:rPr>
                <w:spacing w:val="1"/>
                <w:sz w:val="21"/>
                <w:szCs w:val="21"/>
                <w:lang w:eastAsia="zh-CN"/>
              </w:rPr>
            </w:pPr>
            <w:r>
              <w:rPr>
                <w:rFonts w:hint="eastAsia"/>
                <w:spacing w:val="1"/>
                <w:sz w:val="21"/>
                <w:szCs w:val="21"/>
                <w:lang w:eastAsia="zh-CN"/>
              </w:rPr>
              <w:t>（</w:t>
            </w:r>
            <w:r>
              <w:rPr>
                <w:spacing w:val="1"/>
                <w:sz w:val="21"/>
                <w:szCs w:val="21"/>
                <w:lang w:eastAsia="zh-CN"/>
              </w:rPr>
              <w:t>3</w:t>
            </w:r>
            <w:r>
              <w:rPr>
                <w:rFonts w:hint="eastAsia"/>
                <w:spacing w:val="1"/>
                <w:sz w:val="21"/>
                <w:szCs w:val="21"/>
                <w:lang w:eastAsia="zh-CN"/>
              </w:rPr>
              <w:t>）在维护期内，提供</w:t>
            </w:r>
            <w:r>
              <w:rPr>
                <w:spacing w:val="1"/>
                <w:sz w:val="21"/>
                <w:szCs w:val="21"/>
                <w:lang w:eastAsia="zh-CN"/>
              </w:rPr>
              <w:t xml:space="preserve">7*24故障受理服务电话。一旦发生标的物相关问题，投标人保证在接到通知 2 </w:t>
            </w:r>
            <w:r>
              <w:rPr>
                <w:rFonts w:hint="eastAsia"/>
                <w:spacing w:val="1"/>
                <w:sz w:val="21"/>
                <w:szCs w:val="21"/>
                <w:lang w:eastAsia="zh-CN"/>
              </w:rPr>
              <w:t>小时内响应，</w:t>
            </w:r>
            <w:r>
              <w:rPr>
                <w:spacing w:val="1"/>
                <w:sz w:val="21"/>
                <w:szCs w:val="21"/>
                <w:lang w:eastAsia="zh-CN"/>
              </w:rPr>
              <w:t xml:space="preserve"> </w:t>
            </w:r>
            <w:r>
              <w:rPr>
                <w:rFonts w:hint="eastAsia"/>
                <w:spacing w:val="1"/>
                <w:sz w:val="21"/>
                <w:szCs w:val="21"/>
                <w:lang w:eastAsia="zh-CN"/>
              </w:rPr>
              <w:t>若远程无法解决，需要在</w:t>
            </w:r>
            <w:r>
              <w:rPr>
                <w:spacing w:val="1"/>
                <w:sz w:val="21"/>
                <w:szCs w:val="21"/>
                <w:lang w:eastAsia="zh-CN"/>
              </w:rPr>
              <w:t xml:space="preserve">24 </w:t>
            </w:r>
            <w:r>
              <w:rPr>
                <w:rFonts w:hint="eastAsia"/>
                <w:spacing w:val="1"/>
                <w:sz w:val="21"/>
                <w:szCs w:val="21"/>
                <w:lang w:eastAsia="zh-CN"/>
              </w:rPr>
              <w:t>小时内赶到进行现场处理。</w:t>
            </w:r>
          </w:p>
          <w:p w14:paraId="30B4F797">
            <w:pPr>
              <w:pStyle w:val="20"/>
              <w:snapToGrid w:val="0"/>
              <w:spacing w:before="28" w:line="360" w:lineRule="auto"/>
              <w:ind w:left="56" w:right="18" w:hanging="18"/>
              <w:rPr>
                <w:spacing w:val="1"/>
                <w:sz w:val="21"/>
                <w:szCs w:val="21"/>
                <w:lang w:eastAsia="zh-CN"/>
              </w:rPr>
            </w:pPr>
            <w:r>
              <w:rPr>
                <w:rFonts w:hint="eastAsia"/>
                <w:spacing w:val="1"/>
                <w:sz w:val="21"/>
                <w:szCs w:val="21"/>
                <w:lang w:eastAsia="zh-CN"/>
              </w:rPr>
              <w:t>（</w:t>
            </w:r>
            <w:r>
              <w:rPr>
                <w:spacing w:val="1"/>
                <w:sz w:val="21"/>
                <w:szCs w:val="21"/>
                <w:lang w:eastAsia="zh-CN"/>
              </w:rPr>
              <w:t>4</w:t>
            </w:r>
            <w:r>
              <w:rPr>
                <w:rFonts w:hint="eastAsia"/>
                <w:spacing w:val="1"/>
                <w:sz w:val="21"/>
                <w:szCs w:val="21"/>
                <w:lang w:eastAsia="zh-CN"/>
              </w:rPr>
              <w:t>）每年对系统运行状况进行巡检，并出具巡检报告。</w:t>
            </w:r>
          </w:p>
        </w:tc>
      </w:tr>
      <w:tr w14:paraId="6DB0B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964" w:hRule="atLeast"/>
          <w:jc w:val="center"/>
        </w:trPr>
        <w:tc>
          <w:tcPr>
            <w:tcW w:w="279" w:type="pct"/>
            <w:vMerge w:val="continue"/>
            <w:vAlign w:val="center"/>
          </w:tcPr>
          <w:p w14:paraId="29CF754E">
            <w:pPr>
              <w:snapToGrid w:val="0"/>
              <w:spacing w:line="360" w:lineRule="auto"/>
              <w:jc w:val="center"/>
              <w:rPr>
                <w:rFonts w:ascii="宋体" w:hAnsi="宋体" w:eastAsia="宋体" w:cs="宋体"/>
                <w:spacing w:val="1"/>
                <w:szCs w:val="21"/>
              </w:rPr>
            </w:pPr>
          </w:p>
        </w:tc>
        <w:tc>
          <w:tcPr>
            <w:tcW w:w="701" w:type="pct"/>
            <w:vAlign w:val="center"/>
          </w:tcPr>
          <w:p w14:paraId="0F3908B4">
            <w:pPr>
              <w:pStyle w:val="20"/>
              <w:snapToGrid w:val="0"/>
              <w:spacing w:before="72" w:line="360" w:lineRule="auto"/>
              <w:jc w:val="center"/>
              <w:rPr>
                <w:spacing w:val="1"/>
                <w:sz w:val="21"/>
                <w:szCs w:val="21"/>
              </w:rPr>
            </w:pPr>
            <w:r>
              <w:rPr>
                <w:rFonts w:hint="eastAsia"/>
                <w:spacing w:val="1"/>
                <w:sz w:val="21"/>
                <w:szCs w:val="21"/>
              </w:rPr>
              <w:t>接口对接</w:t>
            </w:r>
          </w:p>
        </w:tc>
        <w:tc>
          <w:tcPr>
            <w:tcW w:w="4019" w:type="pct"/>
            <w:vAlign w:val="center"/>
          </w:tcPr>
          <w:p w14:paraId="650D4F00">
            <w:pPr>
              <w:pStyle w:val="20"/>
              <w:snapToGrid w:val="0"/>
              <w:spacing w:before="28" w:line="360" w:lineRule="auto"/>
              <w:ind w:left="56" w:right="18" w:hanging="18"/>
              <w:rPr>
                <w:spacing w:val="1"/>
                <w:sz w:val="21"/>
                <w:szCs w:val="21"/>
                <w:lang w:eastAsia="zh-CN"/>
              </w:rPr>
            </w:pPr>
            <w:r>
              <w:rPr>
                <w:rFonts w:hint="eastAsia"/>
                <w:spacing w:val="1"/>
                <w:sz w:val="21"/>
                <w:szCs w:val="21"/>
                <w:lang w:eastAsia="zh-CN"/>
              </w:rPr>
              <w:t>系统在实施及维保期间提供与第三方系统免费接口对接服务，</w:t>
            </w:r>
            <w:r>
              <w:rPr>
                <w:spacing w:val="1"/>
                <w:sz w:val="21"/>
                <w:szCs w:val="21"/>
                <w:lang w:eastAsia="zh-CN"/>
              </w:rPr>
              <w:t>最终接入数量和范围由医院根据实际情况而确定</w:t>
            </w:r>
            <w:r>
              <w:rPr>
                <w:rFonts w:hint="eastAsia"/>
                <w:spacing w:val="1"/>
                <w:sz w:val="21"/>
                <w:szCs w:val="21"/>
                <w:lang w:eastAsia="zh-CN"/>
              </w:rPr>
              <w:t>。</w:t>
            </w:r>
          </w:p>
        </w:tc>
      </w:tr>
      <w:tr w14:paraId="654C3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3031" w:hRule="atLeast"/>
          <w:jc w:val="center"/>
        </w:trPr>
        <w:tc>
          <w:tcPr>
            <w:tcW w:w="279" w:type="pct"/>
            <w:vMerge w:val="continue"/>
            <w:vAlign w:val="center"/>
          </w:tcPr>
          <w:p w14:paraId="210A7770">
            <w:pPr>
              <w:snapToGrid w:val="0"/>
              <w:spacing w:line="360" w:lineRule="auto"/>
              <w:jc w:val="center"/>
              <w:rPr>
                <w:rFonts w:ascii="宋体" w:hAnsi="宋体" w:eastAsia="宋体" w:cs="宋体"/>
                <w:spacing w:val="1"/>
                <w:szCs w:val="21"/>
              </w:rPr>
            </w:pPr>
          </w:p>
        </w:tc>
        <w:tc>
          <w:tcPr>
            <w:tcW w:w="701" w:type="pct"/>
            <w:vAlign w:val="center"/>
          </w:tcPr>
          <w:p w14:paraId="4ECE405E">
            <w:pPr>
              <w:pStyle w:val="20"/>
              <w:snapToGrid w:val="0"/>
              <w:spacing w:before="72" w:line="360" w:lineRule="auto"/>
              <w:jc w:val="center"/>
              <w:rPr>
                <w:spacing w:val="1"/>
                <w:sz w:val="21"/>
                <w:szCs w:val="21"/>
                <w:lang w:eastAsia="zh-CN"/>
              </w:rPr>
            </w:pPr>
            <w:r>
              <w:rPr>
                <w:rFonts w:hint="eastAsia"/>
                <w:spacing w:val="1"/>
                <w:sz w:val="21"/>
                <w:szCs w:val="21"/>
                <w:lang w:eastAsia="zh-CN"/>
              </w:rPr>
              <w:t>▲改造服务及兼容性要求</w:t>
            </w:r>
          </w:p>
        </w:tc>
        <w:tc>
          <w:tcPr>
            <w:tcW w:w="4019" w:type="pct"/>
            <w:vAlign w:val="center"/>
          </w:tcPr>
          <w:p w14:paraId="0AF07424">
            <w:pPr>
              <w:pStyle w:val="20"/>
              <w:snapToGrid w:val="0"/>
              <w:spacing w:before="28" w:line="360" w:lineRule="auto"/>
              <w:ind w:left="56" w:right="18" w:hanging="18"/>
              <w:rPr>
                <w:spacing w:val="1"/>
                <w:sz w:val="21"/>
                <w:szCs w:val="21"/>
                <w:lang w:eastAsia="zh-CN"/>
              </w:rPr>
            </w:pPr>
            <w:r>
              <w:rPr>
                <w:rFonts w:hint="eastAsia"/>
                <w:spacing w:val="1"/>
                <w:sz w:val="21"/>
                <w:szCs w:val="21"/>
                <w:lang w:eastAsia="zh-CN"/>
              </w:rPr>
              <w:t>1.配合采购人进行医院信息互联互通标准化成熟度测评四级甲等评审，评审工作中涉及本项目的，成交供应商需免费按时进行改造或升级。</w:t>
            </w:r>
          </w:p>
          <w:p w14:paraId="12FA7055">
            <w:pPr>
              <w:pStyle w:val="20"/>
              <w:snapToGrid w:val="0"/>
              <w:spacing w:before="28" w:line="360" w:lineRule="auto"/>
              <w:ind w:left="56" w:right="18" w:hanging="18"/>
              <w:rPr>
                <w:spacing w:val="1"/>
                <w:sz w:val="21"/>
                <w:szCs w:val="21"/>
                <w:lang w:eastAsia="zh-CN"/>
              </w:rPr>
            </w:pPr>
            <w:r>
              <w:rPr>
                <w:rFonts w:hint="eastAsia"/>
                <w:spacing w:val="1"/>
                <w:sz w:val="21"/>
                <w:szCs w:val="21"/>
                <w:lang w:eastAsia="zh-CN"/>
              </w:rPr>
              <w:t>2.配合采购人进行智慧医疗分级评价标准五级评审，评审工作中涉及本项目的,成交供应商需免费按时进行改造或升级。</w:t>
            </w:r>
          </w:p>
          <w:p w14:paraId="7BABE902">
            <w:pPr>
              <w:pStyle w:val="20"/>
              <w:snapToGrid w:val="0"/>
              <w:spacing w:before="28" w:line="360" w:lineRule="auto"/>
              <w:ind w:left="56" w:right="18" w:hanging="18"/>
              <w:rPr>
                <w:spacing w:val="1"/>
                <w:sz w:val="21"/>
                <w:szCs w:val="21"/>
                <w:lang w:eastAsia="zh-CN"/>
              </w:rPr>
            </w:pPr>
            <w:r>
              <w:rPr>
                <w:rFonts w:hint="eastAsia"/>
                <w:spacing w:val="1"/>
                <w:sz w:val="21"/>
                <w:szCs w:val="21"/>
                <w:lang w:eastAsia="zh-CN"/>
              </w:rPr>
              <w:t>3.配合采购人针对本项目进行信息安全等级保护三级测评，评审工作中涉及本项目的，成交供应商需免费按时进行改造或升级。</w:t>
            </w:r>
          </w:p>
          <w:p w14:paraId="63542CC6">
            <w:pPr>
              <w:pStyle w:val="20"/>
              <w:snapToGrid w:val="0"/>
              <w:spacing w:before="28" w:line="360" w:lineRule="auto"/>
              <w:ind w:left="56" w:right="18" w:hanging="18"/>
              <w:rPr>
                <w:spacing w:val="1"/>
                <w:sz w:val="21"/>
                <w:szCs w:val="21"/>
                <w:lang w:eastAsia="zh-CN"/>
              </w:rPr>
            </w:pPr>
            <w:r>
              <w:rPr>
                <w:rFonts w:hint="eastAsia"/>
                <w:spacing w:val="1"/>
                <w:sz w:val="21"/>
                <w:szCs w:val="21"/>
                <w:lang w:eastAsia="zh-CN"/>
              </w:rPr>
              <w:t>4.配合采购人进行商用密码应用安全性改造，改造工作中涉及本项目的，成交供应商需免费按时进行改造或升级。</w:t>
            </w:r>
          </w:p>
          <w:p w14:paraId="73993A54">
            <w:pPr>
              <w:pStyle w:val="20"/>
              <w:snapToGrid w:val="0"/>
              <w:spacing w:before="28" w:line="360" w:lineRule="auto"/>
              <w:ind w:left="56" w:right="18" w:hanging="18"/>
              <w:rPr>
                <w:spacing w:val="1"/>
                <w:sz w:val="21"/>
                <w:szCs w:val="21"/>
                <w:lang w:eastAsia="zh-CN"/>
              </w:rPr>
            </w:pPr>
            <w:r>
              <w:rPr>
                <w:rFonts w:hint="eastAsia"/>
                <w:spacing w:val="1"/>
                <w:sz w:val="21"/>
                <w:szCs w:val="21"/>
                <w:lang w:eastAsia="zh-CN"/>
              </w:rPr>
              <w:t>5.要求支持部署在信创服务器，支持信创系统，支持信创数据库，支持国密改造。</w:t>
            </w:r>
          </w:p>
        </w:tc>
      </w:tr>
    </w:tbl>
    <w:p w14:paraId="05F0037A"/>
    <w:p w14:paraId="5EF92CC4">
      <w:pPr>
        <w:pStyle w:val="4"/>
      </w:pPr>
    </w:p>
    <w:p w14:paraId="1AD45DB8">
      <w:pPr>
        <w:ind w:firstLine="482"/>
        <w:jc w:val="center"/>
        <w:rPr>
          <w:b/>
          <w:bCs/>
          <w:sz w:val="28"/>
        </w:rPr>
      </w:pPr>
      <w:r>
        <w:rPr>
          <w:rFonts w:hint="eastAsia"/>
          <w:b/>
          <w:bCs/>
        </w:rPr>
        <w:t>评审标准</w:t>
      </w:r>
    </w:p>
    <w:tbl>
      <w:tblPr>
        <w:tblStyle w:val="1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81"/>
        <w:gridCol w:w="6615"/>
        <w:gridCol w:w="709"/>
      </w:tblGrid>
      <w:tr w14:paraId="41D8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blHeader/>
          <w:jc w:val="center"/>
        </w:trPr>
        <w:tc>
          <w:tcPr>
            <w:tcW w:w="704" w:type="dxa"/>
            <w:shd w:val="clear" w:color="auto" w:fill="FFFFFF" w:themeFill="background1"/>
            <w:vAlign w:val="center"/>
          </w:tcPr>
          <w:p w14:paraId="24D7BC46">
            <w:pPr>
              <w:jc w:val="center"/>
              <w:rPr>
                <w:rFonts w:hAnsi="宋体" w:cs="宋体"/>
              </w:rPr>
            </w:pPr>
            <w:r>
              <w:rPr>
                <w:rFonts w:hint="eastAsia" w:hAnsi="宋体" w:cs="宋体"/>
              </w:rPr>
              <w:t>序号</w:t>
            </w:r>
          </w:p>
        </w:tc>
        <w:tc>
          <w:tcPr>
            <w:tcW w:w="1181" w:type="dxa"/>
            <w:shd w:val="clear" w:color="auto" w:fill="FFFFFF" w:themeFill="background1"/>
            <w:vAlign w:val="center"/>
          </w:tcPr>
          <w:p w14:paraId="035E83F4">
            <w:pPr>
              <w:jc w:val="center"/>
              <w:rPr>
                <w:rFonts w:hAnsi="宋体" w:cs="宋体"/>
              </w:rPr>
            </w:pPr>
            <w:r>
              <w:rPr>
                <w:rFonts w:hint="eastAsia" w:hAnsi="宋体" w:cs="宋体"/>
              </w:rPr>
              <w:t>评分因素</w:t>
            </w:r>
          </w:p>
        </w:tc>
        <w:tc>
          <w:tcPr>
            <w:tcW w:w="6615" w:type="dxa"/>
            <w:shd w:val="clear" w:color="auto" w:fill="FFFFFF" w:themeFill="background1"/>
            <w:vAlign w:val="center"/>
          </w:tcPr>
          <w:p w14:paraId="5BF8D5CC">
            <w:pPr>
              <w:jc w:val="center"/>
              <w:rPr>
                <w:rFonts w:hAnsi="宋体" w:cs="宋体"/>
              </w:rPr>
            </w:pPr>
            <w:r>
              <w:rPr>
                <w:rFonts w:hint="eastAsia" w:hAnsi="宋体" w:cs="宋体"/>
              </w:rPr>
              <w:t>评审内容</w:t>
            </w:r>
          </w:p>
        </w:tc>
        <w:tc>
          <w:tcPr>
            <w:tcW w:w="709" w:type="dxa"/>
            <w:shd w:val="clear" w:color="auto" w:fill="FFFFFF" w:themeFill="background1"/>
            <w:vAlign w:val="center"/>
          </w:tcPr>
          <w:p w14:paraId="742EC8C0">
            <w:pPr>
              <w:jc w:val="center"/>
              <w:rPr>
                <w:rFonts w:hAnsi="宋体" w:cs="宋体"/>
              </w:rPr>
            </w:pPr>
            <w:r>
              <w:rPr>
                <w:rFonts w:hint="eastAsia" w:hAnsi="宋体" w:cs="宋体"/>
              </w:rPr>
              <w:t>分值</w:t>
            </w:r>
          </w:p>
        </w:tc>
      </w:tr>
      <w:tr w14:paraId="42D2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209" w:type="dxa"/>
            <w:gridSpan w:val="4"/>
            <w:vAlign w:val="center"/>
          </w:tcPr>
          <w:p w14:paraId="24C8B4F1">
            <w:pPr>
              <w:jc w:val="center"/>
              <w:outlineLvl w:val="2"/>
              <w:rPr>
                <w:rFonts w:hAnsi="宋体" w:cs="宋体"/>
              </w:rPr>
            </w:pPr>
            <w:r>
              <w:rPr>
                <w:rFonts w:hint="eastAsia" w:hAnsi="宋体" w:cs="宋体"/>
                <w:b/>
              </w:rPr>
              <w:t>价格分（20分）</w:t>
            </w:r>
          </w:p>
        </w:tc>
      </w:tr>
      <w:tr w14:paraId="7EAA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704" w:type="dxa"/>
            <w:vAlign w:val="center"/>
          </w:tcPr>
          <w:p w14:paraId="183D1D34">
            <w:pPr>
              <w:jc w:val="center"/>
              <w:rPr>
                <w:rFonts w:hAnsi="宋体" w:cs="宋体"/>
              </w:rPr>
            </w:pPr>
            <w:r>
              <w:rPr>
                <w:rFonts w:hint="eastAsia" w:hAnsi="宋体" w:cs="宋体"/>
              </w:rPr>
              <w:t>1</w:t>
            </w:r>
          </w:p>
        </w:tc>
        <w:tc>
          <w:tcPr>
            <w:tcW w:w="1181" w:type="dxa"/>
            <w:vAlign w:val="center"/>
          </w:tcPr>
          <w:p w14:paraId="7B96239C">
            <w:pPr>
              <w:widowControl/>
              <w:jc w:val="center"/>
              <w:rPr>
                <w:rFonts w:hAnsi="宋体" w:cs="宋体"/>
              </w:rPr>
            </w:pPr>
            <w:r>
              <w:rPr>
                <w:rFonts w:hint="eastAsia" w:hAnsi="宋体" w:cs="宋体"/>
              </w:rPr>
              <w:t>价格</w:t>
            </w:r>
          </w:p>
        </w:tc>
        <w:tc>
          <w:tcPr>
            <w:tcW w:w="6615" w:type="dxa"/>
            <w:vAlign w:val="center"/>
          </w:tcPr>
          <w:p w14:paraId="49E12210">
            <w:pPr>
              <w:rPr>
                <w:rFonts w:hAnsi="宋体" w:cs="宋体"/>
              </w:rPr>
            </w:pPr>
            <w:r>
              <w:rPr>
                <w:rFonts w:hint="eastAsia" w:hAnsi="宋体" w:cs="宋体"/>
              </w:rPr>
              <w:t>价格分采用低价优先法计算，即满足招标文件全部实质性要求且投标价格最低的投标报价为评标基准价，其价格分为满分。其他投标人的价格分统一按下列公式计算：投标报价得分=（评标基准价/投标报价）×20分</w:t>
            </w:r>
          </w:p>
        </w:tc>
        <w:tc>
          <w:tcPr>
            <w:tcW w:w="709" w:type="dxa"/>
            <w:vAlign w:val="center"/>
          </w:tcPr>
          <w:p w14:paraId="5CE4AC88">
            <w:pPr>
              <w:jc w:val="center"/>
              <w:rPr>
                <w:rFonts w:hAnsi="宋体" w:cs="宋体"/>
              </w:rPr>
            </w:pPr>
            <w:r>
              <w:rPr>
                <w:rFonts w:hAnsi="宋体" w:cs="宋体"/>
              </w:rPr>
              <w:t>20</w:t>
            </w:r>
          </w:p>
          <w:p w14:paraId="4BBBCCC0">
            <w:pPr>
              <w:rPr>
                <w:rFonts w:hAnsi="宋体" w:cs="宋体"/>
              </w:rPr>
            </w:pPr>
          </w:p>
        </w:tc>
      </w:tr>
      <w:tr w14:paraId="277B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209" w:type="dxa"/>
            <w:gridSpan w:val="4"/>
            <w:vAlign w:val="center"/>
          </w:tcPr>
          <w:p w14:paraId="7672A6F5">
            <w:pPr>
              <w:jc w:val="center"/>
              <w:outlineLvl w:val="2"/>
              <w:rPr>
                <w:rFonts w:hAnsi="宋体" w:cs="宋体"/>
                <w:b/>
              </w:rPr>
            </w:pPr>
            <w:r>
              <w:rPr>
                <w:rFonts w:hint="eastAsia" w:hAnsi="宋体" w:cs="宋体"/>
                <w:b/>
              </w:rPr>
              <w:t>技术评分（80分）</w:t>
            </w:r>
          </w:p>
        </w:tc>
      </w:tr>
      <w:tr w14:paraId="435E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704" w:type="dxa"/>
            <w:vAlign w:val="center"/>
          </w:tcPr>
          <w:p w14:paraId="5900B51B">
            <w:pPr>
              <w:jc w:val="center"/>
              <w:rPr>
                <w:rFonts w:hAnsi="宋体" w:cs="宋体"/>
              </w:rPr>
            </w:pPr>
            <w:r>
              <w:rPr>
                <w:rFonts w:hint="eastAsia" w:hAnsi="宋体" w:cs="宋体"/>
              </w:rPr>
              <w:t>1</w:t>
            </w:r>
          </w:p>
        </w:tc>
        <w:tc>
          <w:tcPr>
            <w:tcW w:w="1181" w:type="dxa"/>
            <w:vAlign w:val="center"/>
          </w:tcPr>
          <w:p w14:paraId="0B30C05A">
            <w:pPr>
              <w:pStyle w:val="6"/>
              <w:spacing w:line="360" w:lineRule="auto"/>
              <w:rPr>
                <w:rFonts w:eastAsia="宋体"/>
                <w:sz w:val="24"/>
                <w:szCs w:val="24"/>
                <w:lang w:bidi="ar"/>
              </w:rPr>
            </w:pPr>
            <w:r>
              <w:rPr>
                <w:rFonts w:hint="eastAsia" w:eastAsia="宋体"/>
                <w:sz w:val="24"/>
                <w:szCs w:val="24"/>
                <w:lang w:bidi="ar"/>
              </w:rPr>
              <w:t>技术指标响应情况</w:t>
            </w:r>
          </w:p>
        </w:tc>
        <w:tc>
          <w:tcPr>
            <w:tcW w:w="6615" w:type="dxa"/>
            <w:vAlign w:val="center"/>
          </w:tcPr>
          <w:p w14:paraId="684FF39E">
            <w:pPr>
              <w:widowControl/>
              <w:rPr>
                <w:rFonts w:hAnsi="宋体" w:cs="宋体"/>
                <w:color w:val="000000"/>
                <w:kern w:val="0"/>
              </w:rPr>
            </w:pPr>
            <w:r>
              <w:rPr>
                <w:rFonts w:hint="eastAsia" w:hAnsi="宋体" w:cs="宋体"/>
                <w:color w:val="000000"/>
                <w:kern w:val="0"/>
              </w:rPr>
              <w:t>由评委根据各投标人投标文件对招标文件“采购需求”要求</w:t>
            </w:r>
          </w:p>
          <w:p w14:paraId="5E41D3B5">
            <w:pPr>
              <w:widowControl/>
              <w:rPr>
                <w:rFonts w:hAnsi="宋体" w:cs="宋体"/>
                <w:color w:val="000000"/>
                <w:kern w:val="0"/>
              </w:rPr>
            </w:pPr>
            <w:r>
              <w:rPr>
                <w:rFonts w:hint="eastAsia" w:hAnsi="宋体" w:cs="宋体"/>
                <w:color w:val="000000"/>
                <w:kern w:val="0"/>
              </w:rPr>
              <w:t>的“技术要求”内容的响应情况进行评审，能完全满足招标文件“技术要求”且无任何负偏离的得25分，存在负偏离的则按下列方式在本项满分（25分）的基础上进行扣分计算，扣完为止，不计负分：</w:t>
            </w:r>
          </w:p>
          <w:p w14:paraId="1E63A265">
            <w:pPr>
              <w:widowControl/>
              <w:rPr>
                <w:rFonts w:hAnsi="宋体" w:cs="宋体"/>
                <w:color w:val="000000"/>
                <w:kern w:val="0"/>
              </w:rPr>
            </w:pPr>
            <w:r>
              <w:rPr>
                <w:rFonts w:hint="eastAsia" w:hAnsi="宋体" w:cs="宋体"/>
                <w:color w:val="000000"/>
                <w:kern w:val="0"/>
              </w:rPr>
              <w:t>1、标注“</w:t>
            </w:r>
            <w:r>
              <w:rPr>
                <w:rFonts w:hint="eastAsia" w:ascii="宋体" w:hAnsi="宋体"/>
                <w:b/>
                <w:bCs/>
                <w:color w:val="000000"/>
              </w:rPr>
              <w:t>★</w:t>
            </w:r>
            <w:r>
              <w:rPr>
                <w:rFonts w:hint="eastAsia" w:hAnsi="宋体" w:cs="宋体"/>
                <w:color w:val="000000"/>
                <w:kern w:val="0"/>
              </w:rPr>
              <w:t>”号的技术参数要求，每有一项负偏离或未作响应的扣3分；</w:t>
            </w:r>
          </w:p>
          <w:p w14:paraId="6F59B5C9">
            <w:pPr>
              <w:widowControl/>
              <w:rPr>
                <w:rFonts w:hAnsi="宋体" w:cs="宋体"/>
                <w:color w:val="000000"/>
                <w:kern w:val="0"/>
              </w:rPr>
            </w:pPr>
            <w:r>
              <w:rPr>
                <w:rFonts w:hint="eastAsia" w:hAnsi="宋体" w:cs="宋体"/>
                <w:color w:val="000000"/>
                <w:kern w:val="0"/>
              </w:rPr>
              <w:t>2、未标注“</w:t>
            </w:r>
            <w:r>
              <w:rPr>
                <w:rFonts w:hint="eastAsia" w:ascii="宋体" w:hAnsi="宋体"/>
                <w:b/>
                <w:bCs/>
                <w:color w:val="000000"/>
              </w:rPr>
              <w:t>★</w:t>
            </w:r>
            <w:r>
              <w:rPr>
                <w:rFonts w:hint="eastAsia" w:hAnsi="宋体" w:cs="宋体"/>
                <w:color w:val="000000"/>
                <w:kern w:val="0"/>
              </w:rPr>
              <w:t>”号的技术参数要求，每有一项负偏离或未作响应的扣1分；</w:t>
            </w:r>
          </w:p>
          <w:p w14:paraId="5F9FC998">
            <w:pPr>
              <w:rPr>
                <w:rFonts w:hAnsi="宋体" w:cs="宋体"/>
                <w:b/>
                <w:bCs/>
              </w:rPr>
            </w:pPr>
            <w:r>
              <w:rPr>
                <w:rFonts w:hint="eastAsia" w:hAnsi="宋体" w:cs="宋体"/>
                <w:b/>
                <w:bCs/>
                <w:color w:val="000000"/>
                <w:kern w:val="0"/>
              </w:rPr>
              <w:t>注：</w:t>
            </w:r>
            <w:r>
              <w:rPr>
                <w:rFonts w:hint="eastAsia" w:hAnsi="宋体" w:cs="宋体"/>
                <w:b/>
                <w:bCs/>
              </w:rPr>
              <w:t>提供技术偏离表响应，</w:t>
            </w:r>
            <w:r>
              <w:rPr>
                <w:rFonts w:hint="eastAsia" w:hAnsi="宋体" w:cs="宋体"/>
                <w:b/>
                <w:bCs/>
                <w:color w:val="000000"/>
                <w:kern w:val="0"/>
              </w:rPr>
              <w:t>标注“</w:t>
            </w:r>
            <w:r>
              <w:rPr>
                <w:rFonts w:hint="eastAsia" w:ascii="宋体" w:hAnsi="宋体"/>
                <w:b/>
                <w:bCs/>
                <w:color w:val="000000"/>
              </w:rPr>
              <w:t>★</w:t>
            </w:r>
            <w:r>
              <w:rPr>
                <w:rFonts w:hint="eastAsia" w:hAnsi="宋体" w:cs="宋体"/>
                <w:b/>
                <w:bCs/>
                <w:color w:val="000000"/>
                <w:kern w:val="0"/>
              </w:rPr>
              <w:t>”号的技术参数需按照招标要求</w:t>
            </w:r>
            <w:r>
              <w:rPr>
                <w:rFonts w:hint="eastAsia" w:hAnsi="宋体"/>
                <w:b/>
                <w:bCs/>
                <w:szCs w:val="21"/>
              </w:rPr>
              <w:t>提供相关证明材料加盖供应商公章，未按要求提供材料的，不得分</w:t>
            </w:r>
            <w:r>
              <w:rPr>
                <w:rFonts w:hint="eastAsia" w:hAnsi="宋体" w:cs="宋体"/>
                <w:b/>
                <w:bCs/>
              </w:rPr>
              <w:t>。</w:t>
            </w:r>
          </w:p>
        </w:tc>
        <w:tc>
          <w:tcPr>
            <w:tcW w:w="709" w:type="dxa"/>
            <w:vAlign w:val="center"/>
          </w:tcPr>
          <w:p w14:paraId="1005A383">
            <w:pPr>
              <w:jc w:val="center"/>
              <w:rPr>
                <w:rFonts w:hAnsi="宋体" w:cs="宋体"/>
                <w:lang w:bidi="ar"/>
              </w:rPr>
            </w:pPr>
            <w:r>
              <w:rPr>
                <w:rFonts w:hint="eastAsia" w:hAnsi="宋体" w:cs="宋体"/>
                <w:lang w:bidi="ar"/>
              </w:rPr>
              <w:t>25</w:t>
            </w:r>
          </w:p>
        </w:tc>
      </w:tr>
      <w:tr w14:paraId="1595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704" w:type="dxa"/>
            <w:vAlign w:val="center"/>
          </w:tcPr>
          <w:p w14:paraId="20B3F15F">
            <w:pPr>
              <w:jc w:val="center"/>
              <w:rPr>
                <w:rFonts w:hAnsi="宋体" w:cs="宋体"/>
              </w:rPr>
            </w:pPr>
            <w:r>
              <w:rPr>
                <w:rFonts w:hint="eastAsia" w:hAnsi="宋体" w:cs="宋体"/>
              </w:rPr>
              <w:t>2</w:t>
            </w:r>
          </w:p>
        </w:tc>
        <w:tc>
          <w:tcPr>
            <w:tcW w:w="1181" w:type="dxa"/>
            <w:vAlign w:val="center"/>
          </w:tcPr>
          <w:p w14:paraId="323F8B00">
            <w:pPr>
              <w:pStyle w:val="6"/>
              <w:spacing w:line="360" w:lineRule="auto"/>
              <w:rPr>
                <w:rFonts w:eastAsia="宋体"/>
                <w:sz w:val="24"/>
                <w:szCs w:val="24"/>
                <w:lang w:bidi="ar"/>
              </w:rPr>
            </w:pPr>
            <w:r>
              <w:rPr>
                <w:rFonts w:hint="eastAsia" w:eastAsia="宋体"/>
                <w:sz w:val="24"/>
                <w:szCs w:val="24"/>
                <w:lang w:bidi="ar"/>
              </w:rPr>
              <w:t>技术方案</w:t>
            </w:r>
          </w:p>
        </w:tc>
        <w:tc>
          <w:tcPr>
            <w:tcW w:w="6615" w:type="dxa"/>
            <w:vAlign w:val="center"/>
          </w:tcPr>
          <w:p w14:paraId="4AC44F66">
            <w:pPr>
              <w:widowControl/>
              <w:rPr>
                <w:rFonts w:hAnsi="宋体" w:cs="宋体"/>
                <w:color w:val="000000"/>
                <w:kern w:val="0"/>
              </w:rPr>
            </w:pPr>
            <w:r>
              <w:rPr>
                <w:rFonts w:hint="eastAsia" w:hAnsi="宋体" w:cs="宋体"/>
                <w:color w:val="000000"/>
                <w:kern w:val="0"/>
              </w:rPr>
              <w:t>一档（5分）：项目技术方案无明显错误，但理解不完整，不全面，方案针对性不足。</w:t>
            </w:r>
          </w:p>
          <w:p w14:paraId="6826D212">
            <w:pPr>
              <w:widowControl/>
              <w:rPr>
                <w:rFonts w:hAnsi="宋体" w:cs="宋体"/>
                <w:color w:val="000000"/>
                <w:kern w:val="0"/>
              </w:rPr>
            </w:pPr>
            <w:r>
              <w:rPr>
                <w:rFonts w:hint="eastAsia" w:hAnsi="宋体" w:cs="宋体"/>
                <w:color w:val="000000"/>
                <w:kern w:val="0"/>
              </w:rPr>
              <w:t>二档（10分）：项目技术方案包含建设背景、建设现状、建设思路、建设方案等理解基本符合项目的建设要求，总体方案的章节健全但粗糙简单，基本符合设计规范要求的基本结构，服务内容基本可行。</w:t>
            </w:r>
          </w:p>
          <w:p w14:paraId="3455EA76">
            <w:pPr>
              <w:widowControl/>
              <w:rPr>
                <w:rFonts w:hAnsi="宋体" w:cs="宋体"/>
                <w:color w:val="000000"/>
                <w:kern w:val="0"/>
              </w:rPr>
            </w:pPr>
            <w:r>
              <w:rPr>
                <w:rFonts w:hint="eastAsia" w:hAnsi="宋体" w:cs="宋体"/>
                <w:color w:val="000000"/>
                <w:kern w:val="0"/>
              </w:rPr>
              <w:t>三档（20分）：在二档基础上，项目技术方案包含建设背景、建设现状、建设思路、建设方案、总体设计、项目理解与分析、、需求分析、产品优势、互联互通四甲评审建设重点内容分析、政策需求分析等内容符合项目建设要求，对项目的各项工作和要求理解全面，章节及思路清晰，方案详尽、考虑全面、合理可行、针对性强且符合实际需求。</w:t>
            </w:r>
          </w:p>
          <w:p w14:paraId="5D839B39">
            <w:pPr>
              <w:widowControl/>
              <w:rPr>
                <w:rFonts w:hAnsi="宋体" w:cs="宋体"/>
                <w:color w:val="000000"/>
                <w:kern w:val="0"/>
              </w:rPr>
            </w:pPr>
            <w:r>
              <w:rPr>
                <w:rFonts w:hint="eastAsia" w:hAnsi="宋体"/>
                <w:b/>
                <w:bCs/>
                <w:szCs w:val="21"/>
              </w:rPr>
              <w:t>未提供方案的，不得分</w:t>
            </w:r>
            <w:r>
              <w:rPr>
                <w:rFonts w:hint="eastAsia" w:hAnsi="宋体" w:cs="宋体"/>
                <w:b/>
                <w:bCs/>
              </w:rPr>
              <w:t>。</w:t>
            </w:r>
          </w:p>
        </w:tc>
        <w:tc>
          <w:tcPr>
            <w:tcW w:w="709" w:type="dxa"/>
            <w:vAlign w:val="center"/>
          </w:tcPr>
          <w:p w14:paraId="5F107640">
            <w:pPr>
              <w:jc w:val="center"/>
              <w:rPr>
                <w:rFonts w:hAnsi="宋体" w:cs="宋体"/>
                <w:lang w:bidi="ar"/>
              </w:rPr>
            </w:pPr>
            <w:r>
              <w:rPr>
                <w:rFonts w:hint="eastAsia" w:hAnsi="宋体" w:cs="宋体"/>
                <w:lang w:bidi="ar"/>
              </w:rPr>
              <w:t>20</w:t>
            </w:r>
          </w:p>
        </w:tc>
      </w:tr>
      <w:tr w14:paraId="439D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704" w:type="dxa"/>
            <w:vAlign w:val="center"/>
          </w:tcPr>
          <w:p w14:paraId="1D2D29D7">
            <w:pPr>
              <w:jc w:val="center"/>
              <w:rPr>
                <w:rFonts w:hAnsi="宋体" w:cs="宋体"/>
              </w:rPr>
            </w:pPr>
            <w:r>
              <w:rPr>
                <w:rFonts w:hint="eastAsia" w:hAnsi="宋体" w:cs="宋体"/>
              </w:rPr>
              <w:t>3</w:t>
            </w:r>
          </w:p>
        </w:tc>
        <w:tc>
          <w:tcPr>
            <w:tcW w:w="1181" w:type="dxa"/>
            <w:vAlign w:val="center"/>
          </w:tcPr>
          <w:p w14:paraId="68AAD1C7">
            <w:pPr>
              <w:pStyle w:val="6"/>
              <w:spacing w:line="360" w:lineRule="auto"/>
              <w:rPr>
                <w:rFonts w:eastAsia="宋体"/>
                <w:sz w:val="24"/>
                <w:szCs w:val="24"/>
                <w:lang w:bidi="ar"/>
              </w:rPr>
            </w:pPr>
            <w:r>
              <w:rPr>
                <w:rFonts w:hint="eastAsia" w:eastAsia="宋体"/>
                <w:sz w:val="24"/>
                <w:szCs w:val="24"/>
                <w:lang w:bidi="ar"/>
              </w:rPr>
              <w:t>实施方案</w:t>
            </w:r>
          </w:p>
        </w:tc>
        <w:tc>
          <w:tcPr>
            <w:tcW w:w="6615" w:type="dxa"/>
            <w:vAlign w:val="center"/>
          </w:tcPr>
          <w:p w14:paraId="7C3EB3BA">
            <w:pPr>
              <w:pStyle w:val="21"/>
              <w:ind w:firstLine="0"/>
              <w:rPr>
                <w:rFonts w:hAnsi="宋体" w:cs="宋体"/>
              </w:rPr>
            </w:pPr>
            <w:r>
              <w:rPr>
                <w:rFonts w:hint="eastAsia" w:hAnsi="宋体" w:cs="宋体"/>
              </w:rPr>
              <w:t>一档（2分）</w:t>
            </w:r>
            <w:r>
              <w:rPr>
                <w:rFonts w:hAnsi="宋体" w:cs="宋体"/>
              </w:rPr>
              <w:t>：具有明确的实施方案，满足采购文件基本实施要求，项目管理组织机构满足基本管理效率效果要求。</w:t>
            </w:r>
          </w:p>
          <w:p w14:paraId="0C81F11E">
            <w:pPr>
              <w:pStyle w:val="21"/>
              <w:ind w:firstLine="0"/>
              <w:rPr>
                <w:rFonts w:hAnsi="宋体" w:cs="宋体"/>
              </w:rPr>
            </w:pPr>
            <w:r>
              <w:rPr>
                <w:rFonts w:hint="eastAsia" w:hAnsi="宋体" w:cs="宋体"/>
              </w:rPr>
              <w:t>二档（6分）</w:t>
            </w:r>
            <w:r>
              <w:rPr>
                <w:rFonts w:hAnsi="宋体" w:cs="宋体"/>
              </w:rPr>
              <w:t>：在满足</w:t>
            </w:r>
            <w:r>
              <w:rPr>
                <w:rFonts w:hint="eastAsia" w:hAnsi="宋体" w:cs="宋体"/>
              </w:rPr>
              <w:t>一</w:t>
            </w:r>
            <w:r>
              <w:rPr>
                <w:rFonts w:hAnsi="宋体" w:cs="宋体"/>
              </w:rPr>
              <w:t>档基础上，实施方案完整清晰，能够较好地满足采购单位的使用要求，项目实施计划完整可行，项目管理组织机构及人员职能清晰，</w:t>
            </w:r>
            <w:r>
              <w:rPr>
                <w:rFonts w:hint="eastAsia" w:hAnsi="宋体" w:cs="宋体"/>
              </w:rPr>
              <w:t>团队</w:t>
            </w:r>
            <w:r>
              <w:rPr>
                <w:rFonts w:hAnsi="宋体" w:cs="宋体"/>
              </w:rPr>
              <w:t>人员2人及以上配置合理</w:t>
            </w:r>
            <w:r>
              <w:rPr>
                <w:rFonts w:hint="eastAsia" w:hAnsi="宋体" w:cs="宋体"/>
              </w:rPr>
              <w:t>。</w:t>
            </w:r>
          </w:p>
          <w:p w14:paraId="700BB9D4">
            <w:pPr>
              <w:widowControl/>
              <w:rPr>
                <w:rFonts w:hAnsi="宋体" w:cs="宋体"/>
              </w:rPr>
            </w:pPr>
            <w:r>
              <w:rPr>
                <w:rFonts w:hint="eastAsia" w:hAnsi="宋体" w:cs="宋体"/>
              </w:rPr>
              <w:t>三档（10分）</w:t>
            </w:r>
            <w:r>
              <w:rPr>
                <w:rFonts w:hAnsi="宋体" w:cs="宋体"/>
              </w:rPr>
              <w:t>：在三档基础上，实施方案完整、清晰、表述简练而明确，完全满足采购单位的实际使用要求且具备利于项目目标实现的针对性、可实施性充分，项目实施计划完整明晰，有完善、详细的各项管控措施，项目管理组织机构及人员职能清晰可控，</w:t>
            </w:r>
            <w:r>
              <w:rPr>
                <w:rFonts w:hint="eastAsia" w:hAnsi="宋体" w:cs="宋体"/>
              </w:rPr>
              <w:t>团队</w:t>
            </w:r>
            <w:r>
              <w:rPr>
                <w:rFonts w:hAnsi="宋体" w:cs="宋体"/>
              </w:rPr>
              <w:t>人员的配置能够保证保质、保量地完成采购单位需求，应对突发状况的服务响应能力有充分保障，且落地实施的保障性能在投标文件体现充分；整体方案的落地具备充分保障性。</w:t>
            </w:r>
            <w:r>
              <w:rPr>
                <w:rFonts w:hint="eastAsia" w:hAnsi="宋体" w:cs="宋体"/>
              </w:rPr>
              <w:t>团队</w:t>
            </w:r>
            <w:r>
              <w:rPr>
                <w:rFonts w:hAnsi="宋体" w:cs="宋体"/>
              </w:rPr>
              <w:t>人员3人及以上配置合理。</w:t>
            </w:r>
          </w:p>
          <w:p w14:paraId="41E18832">
            <w:pPr>
              <w:widowControl/>
              <w:rPr>
                <w:rFonts w:hAnsi="宋体" w:cs="宋体"/>
              </w:rPr>
            </w:pPr>
            <w:r>
              <w:rPr>
                <w:rFonts w:hint="eastAsia" w:hAnsi="宋体"/>
                <w:b/>
                <w:bCs/>
                <w:szCs w:val="21"/>
              </w:rPr>
              <w:t>未提供方案的，不得分</w:t>
            </w:r>
            <w:r>
              <w:rPr>
                <w:rFonts w:hint="eastAsia" w:hAnsi="宋体" w:cs="宋体"/>
                <w:b/>
                <w:bCs/>
              </w:rPr>
              <w:t>。</w:t>
            </w:r>
          </w:p>
        </w:tc>
        <w:tc>
          <w:tcPr>
            <w:tcW w:w="709" w:type="dxa"/>
            <w:vAlign w:val="center"/>
          </w:tcPr>
          <w:p w14:paraId="0CE4E11F">
            <w:pPr>
              <w:jc w:val="center"/>
              <w:rPr>
                <w:rFonts w:hAnsi="宋体" w:cs="宋体"/>
                <w:lang w:bidi="ar"/>
              </w:rPr>
            </w:pPr>
            <w:r>
              <w:rPr>
                <w:rFonts w:hint="eastAsia" w:hAnsi="宋体" w:cs="宋体"/>
                <w:lang w:bidi="ar"/>
              </w:rPr>
              <w:t>1</w:t>
            </w:r>
            <w:r>
              <w:rPr>
                <w:rFonts w:hAnsi="宋体" w:cs="宋体"/>
                <w:lang w:bidi="ar"/>
              </w:rPr>
              <w:t>0</w:t>
            </w:r>
          </w:p>
        </w:tc>
      </w:tr>
      <w:tr w14:paraId="27B3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704" w:type="dxa"/>
            <w:vAlign w:val="center"/>
          </w:tcPr>
          <w:p w14:paraId="7BFBC978">
            <w:pPr>
              <w:jc w:val="center"/>
              <w:rPr>
                <w:rFonts w:hAnsi="宋体" w:cs="宋体"/>
              </w:rPr>
            </w:pPr>
            <w:r>
              <w:rPr>
                <w:rFonts w:hint="eastAsia" w:hAnsi="宋体" w:cs="宋体"/>
              </w:rPr>
              <w:t>4</w:t>
            </w:r>
          </w:p>
        </w:tc>
        <w:tc>
          <w:tcPr>
            <w:tcW w:w="1181" w:type="dxa"/>
            <w:vAlign w:val="center"/>
          </w:tcPr>
          <w:p w14:paraId="056CEAC5">
            <w:pPr>
              <w:jc w:val="center"/>
              <w:rPr>
                <w:rFonts w:hAnsi="宋体" w:cs="宋体"/>
              </w:rPr>
            </w:pPr>
            <w:r>
              <w:rPr>
                <w:rFonts w:hint="eastAsia" w:hAnsi="宋体" w:cs="宋体"/>
              </w:rPr>
              <w:t>售后服务方案</w:t>
            </w:r>
          </w:p>
        </w:tc>
        <w:tc>
          <w:tcPr>
            <w:tcW w:w="6615" w:type="dxa"/>
            <w:vAlign w:val="center"/>
          </w:tcPr>
          <w:p w14:paraId="3E7749E1">
            <w:pPr>
              <w:pStyle w:val="21"/>
              <w:ind w:firstLine="0"/>
              <w:rPr>
                <w:rFonts w:hAnsi="宋体" w:cs="宋体"/>
              </w:rPr>
            </w:pPr>
            <w:r>
              <w:rPr>
                <w:rFonts w:hint="eastAsia" w:hAnsi="宋体" w:cs="宋体"/>
              </w:rPr>
              <w:t>一档（2分）</w:t>
            </w:r>
            <w:r>
              <w:rPr>
                <w:rFonts w:hAnsi="宋体" w:cs="宋体"/>
              </w:rPr>
              <w:t>：具有明确的</w:t>
            </w:r>
            <w:r>
              <w:rPr>
                <w:rFonts w:hint="eastAsia" w:hAnsi="宋体" w:cs="宋体"/>
              </w:rPr>
              <w:t>售后服务</w:t>
            </w:r>
            <w:r>
              <w:rPr>
                <w:rFonts w:hAnsi="宋体" w:cs="宋体"/>
              </w:rPr>
              <w:t>方案，满足采购文件基本</w:t>
            </w:r>
            <w:r>
              <w:rPr>
                <w:rFonts w:hint="eastAsia" w:hAnsi="宋体" w:cs="宋体"/>
              </w:rPr>
              <w:t>售后服务</w:t>
            </w:r>
            <w:r>
              <w:rPr>
                <w:rFonts w:hAnsi="宋体" w:cs="宋体"/>
              </w:rPr>
              <w:t>要求，</w:t>
            </w:r>
            <w:r>
              <w:rPr>
                <w:rFonts w:hint="eastAsia" w:hAnsi="宋体" w:cs="宋体"/>
              </w:rPr>
              <w:t>具备相应的应急预案</w:t>
            </w:r>
            <w:r>
              <w:rPr>
                <w:rFonts w:hAnsi="宋体" w:cs="宋体"/>
              </w:rPr>
              <w:t>。</w:t>
            </w:r>
          </w:p>
          <w:p w14:paraId="015A0D11">
            <w:pPr>
              <w:pStyle w:val="21"/>
              <w:ind w:firstLine="0"/>
              <w:rPr>
                <w:rFonts w:hAnsi="宋体" w:cs="宋体"/>
              </w:rPr>
            </w:pPr>
            <w:r>
              <w:rPr>
                <w:rFonts w:hint="eastAsia" w:hAnsi="宋体" w:cs="宋体"/>
              </w:rPr>
              <w:t>二档（6分）</w:t>
            </w:r>
            <w:r>
              <w:rPr>
                <w:rFonts w:hAnsi="宋体" w:cs="宋体"/>
              </w:rPr>
              <w:t>：在满足</w:t>
            </w:r>
            <w:r>
              <w:rPr>
                <w:rFonts w:hint="eastAsia" w:hAnsi="宋体" w:cs="宋体"/>
              </w:rPr>
              <w:t>一</w:t>
            </w:r>
            <w:r>
              <w:rPr>
                <w:rFonts w:hAnsi="宋体" w:cs="宋体"/>
              </w:rPr>
              <w:t>档基础上，</w:t>
            </w:r>
            <w:r>
              <w:rPr>
                <w:rFonts w:hint="eastAsia" w:hAnsi="宋体" w:cs="宋体"/>
              </w:rPr>
              <w:t>售后服务</w:t>
            </w:r>
            <w:r>
              <w:rPr>
                <w:rFonts w:hAnsi="宋体" w:cs="宋体"/>
              </w:rPr>
              <w:t>方案完整清晰，能够较好地满足采购单位的</w:t>
            </w:r>
            <w:r>
              <w:rPr>
                <w:rFonts w:hint="eastAsia" w:hAnsi="宋体" w:cs="宋体"/>
              </w:rPr>
              <w:t>售后</w:t>
            </w:r>
            <w:r>
              <w:rPr>
                <w:rFonts w:hAnsi="宋体" w:cs="宋体"/>
              </w:rPr>
              <w:t>要求，</w:t>
            </w:r>
            <w:r>
              <w:rPr>
                <w:rFonts w:hint="eastAsia" w:hAnsi="宋体" w:cs="宋体"/>
              </w:rPr>
              <w:t>售后服务管理体系</w:t>
            </w:r>
            <w:r>
              <w:rPr>
                <w:rFonts w:hAnsi="宋体" w:cs="宋体"/>
              </w:rPr>
              <w:t>完整可行，</w:t>
            </w:r>
            <w:r>
              <w:rPr>
                <w:rFonts w:hint="eastAsia" w:hAnsi="宋体" w:cs="宋体"/>
              </w:rPr>
              <w:t>应急预案保障充分</w:t>
            </w:r>
            <w:r>
              <w:rPr>
                <w:rFonts w:hAnsi="宋体" w:cs="宋体"/>
              </w:rPr>
              <w:t>，</w:t>
            </w:r>
            <w:r>
              <w:rPr>
                <w:rFonts w:hint="eastAsia" w:hAnsi="宋体" w:cs="宋体"/>
              </w:rPr>
              <w:t>培训内容安排</w:t>
            </w:r>
            <w:r>
              <w:rPr>
                <w:rFonts w:hAnsi="宋体" w:cs="宋体"/>
              </w:rPr>
              <w:t>合理。</w:t>
            </w:r>
          </w:p>
          <w:p w14:paraId="76B3EDDC">
            <w:pPr>
              <w:pStyle w:val="21"/>
              <w:ind w:firstLine="0"/>
              <w:rPr>
                <w:rFonts w:hAnsi="宋体" w:cs="宋体"/>
              </w:rPr>
            </w:pPr>
            <w:r>
              <w:rPr>
                <w:rFonts w:hint="eastAsia" w:hAnsi="宋体" w:cs="宋体"/>
              </w:rPr>
              <w:t>三档（10分）</w:t>
            </w:r>
            <w:r>
              <w:rPr>
                <w:rFonts w:hAnsi="宋体" w:cs="宋体"/>
              </w:rPr>
              <w:t>：在</w:t>
            </w:r>
            <w:r>
              <w:rPr>
                <w:rFonts w:hint="eastAsia" w:hAnsi="宋体" w:cs="宋体"/>
              </w:rPr>
              <w:t>二</w:t>
            </w:r>
            <w:r>
              <w:rPr>
                <w:rFonts w:hAnsi="宋体" w:cs="宋体"/>
              </w:rPr>
              <w:t>档基础上，</w:t>
            </w:r>
            <w:r>
              <w:rPr>
                <w:rFonts w:hint="eastAsia" w:hAnsi="宋体" w:cs="宋体"/>
              </w:rPr>
              <w:t>售后服务</w:t>
            </w:r>
            <w:r>
              <w:rPr>
                <w:rFonts w:hAnsi="宋体" w:cs="宋体"/>
              </w:rPr>
              <w:t>方案完整、清晰、表述简练而明确，</w:t>
            </w:r>
            <w:r>
              <w:rPr>
                <w:rFonts w:hint="eastAsia" w:hAnsi="宋体" w:cs="宋体"/>
              </w:rPr>
              <w:t>服务流程及内容具体</w:t>
            </w:r>
            <w:r>
              <w:rPr>
                <w:rFonts w:hAnsi="宋体" w:cs="宋体"/>
              </w:rPr>
              <w:t>，</w:t>
            </w:r>
            <w:r>
              <w:rPr>
                <w:rFonts w:hint="eastAsia" w:hAnsi="宋体" w:cs="宋体"/>
              </w:rPr>
              <w:t>响应时间迅速，服务人员齐备，应急保障切实可行，培训方案全面合理有效，具有详细的培训计划、培训课程。</w:t>
            </w:r>
          </w:p>
          <w:p w14:paraId="24ECDDBB">
            <w:pPr>
              <w:pStyle w:val="21"/>
              <w:ind w:firstLine="0"/>
              <w:rPr>
                <w:rFonts w:hAnsi="宋体" w:cs="宋体"/>
              </w:rPr>
            </w:pPr>
            <w:r>
              <w:rPr>
                <w:rFonts w:hint="eastAsia" w:hAnsi="宋体"/>
                <w:b/>
                <w:bCs/>
                <w:szCs w:val="21"/>
              </w:rPr>
              <w:t>未提供方案的，不得分</w:t>
            </w:r>
            <w:r>
              <w:rPr>
                <w:rFonts w:hint="eastAsia" w:hAnsi="宋体" w:cs="宋体"/>
                <w:b/>
                <w:bCs/>
              </w:rPr>
              <w:t>。</w:t>
            </w:r>
          </w:p>
        </w:tc>
        <w:tc>
          <w:tcPr>
            <w:tcW w:w="709" w:type="dxa"/>
            <w:vAlign w:val="center"/>
          </w:tcPr>
          <w:p w14:paraId="6FB902F6">
            <w:pPr>
              <w:jc w:val="center"/>
              <w:rPr>
                <w:rFonts w:hAnsi="宋体" w:cs="宋体"/>
              </w:rPr>
            </w:pPr>
            <w:r>
              <w:rPr>
                <w:rFonts w:hint="eastAsia" w:hAnsi="宋体" w:cs="宋体"/>
              </w:rPr>
              <w:t>1</w:t>
            </w:r>
            <w:r>
              <w:rPr>
                <w:rFonts w:hAnsi="宋体" w:cs="宋体"/>
              </w:rPr>
              <w:t>0</w:t>
            </w:r>
          </w:p>
        </w:tc>
      </w:tr>
      <w:tr w14:paraId="09B0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704" w:type="dxa"/>
            <w:vAlign w:val="center"/>
          </w:tcPr>
          <w:p w14:paraId="130C42BD">
            <w:pPr>
              <w:jc w:val="center"/>
              <w:rPr>
                <w:rFonts w:hAnsi="宋体" w:cs="宋体"/>
              </w:rPr>
            </w:pPr>
            <w:r>
              <w:rPr>
                <w:rFonts w:hAnsi="宋体" w:cs="宋体"/>
              </w:rPr>
              <w:t>5</w:t>
            </w:r>
          </w:p>
        </w:tc>
        <w:tc>
          <w:tcPr>
            <w:tcW w:w="1181" w:type="dxa"/>
            <w:vAlign w:val="center"/>
          </w:tcPr>
          <w:p w14:paraId="58691B69">
            <w:pPr>
              <w:jc w:val="center"/>
              <w:rPr>
                <w:rFonts w:hAnsi="宋体" w:cs="宋体"/>
              </w:rPr>
            </w:pPr>
            <w:r>
              <w:rPr>
                <w:rFonts w:hAnsi="宋体" w:cs="宋体"/>
              </w:rPr>
              <w:t>系统产品演示</w:t>
            </w:r>
          </w:p>
        </w:tc>
        <w:tc>
          <w:tcPr>
            <w:tcW w:w="6615" w:type="dxa"/>
            <w:vAlign w:val="center"/>
          </w:tcPr>
          <w:p w14:paraId="2F43E275">
            <w:pPr>
              <w:rPr>
                <w:rFonts w:hAnsi="宋体" w:cs="宋体"/>
              </w:rPr>
            </w:pPr>
            <w:r>
              <w:rPr>
                <w:rFonts w:hAnsi="宋体" w:cs="宋体"/>
                <w:b/>
                <w:bCs/>
              </w:rPr>
              <w:t>总体要求：</w:t>
            </w:r>
            <w:r>
              <w:rPr>
                <w:rFonts w:hAnsi="宋体" w:cs="宋体"/>
              </w:rPr>
              <w:br w:type="textWrapping"/>
            </w:r>
            <w:r>
              <w:rPr>
                <w:rFonts w:hAnsi="宋体" w:cs="宋体"/>
              </w:rPr>
              <w:t>投标系统需提供基于真实临床场景的端到端产品演示，完整覆盖患者入组、智能随访、多模态数据采集、AI分析、风险分层、智能干预、临床管理、多中心数据汇总及科研输出等全流程。演示须基于实际系统环境进行，不接受仅原型系统、PPT展示或静态模拟界面。演示过程中可使用模拟数据或脱敏数据，但需完整体现系统真实运行逻辑及功能实现，不得使用真实医院敏感数据。</w:t>
            </w:r>
          </w:p>
          <w:p w14:paraId="70D1D607">
            <w:pPr>
              <w:rPr>
                <w:rFonts w:hAnsi="宋体" w:cs="宋体"/>
              </w:rPr>
            </w:pPr>
            <w:r>
              <w:rPr>
                <w:rFonts w:hAnsi="宋体" w:cs="宋体"/>
              </w:rPr>
              <w:t>在演示能力评审中</w:t>
            </w:r>
          </w:p>
          <w:p w14:paraId="30508CA6">
            <w:pPr>
              <w:rPr>
                <w:rFonts w:hAnsi="宋体" w:cs="宋体"/>
              </w:rPr>
            </w:pPr>
          </w:p>
          <w:p w14:paraId="52415B18">
            <w:pPr>
              <w:rPr>
                <w:rFonts w:hAnsi="宋体" w:cs="宋体"/>
              </w:rPr>
            </w:pPr>
            <w:r>
              <w:rPr>
                <w:rFonts w:hAnsi="宋体" w:cs="宋体"/>
              </w:rPr>
              <w:t>一档（</w:t>
            </w:r>
            <w:r>
              <w:rPr>
                <w:rFonts w:hint="eastAsia" w:hAnsi="宋体" w:cs="宋体"/>
              </w:rPr>
              <w:t>5</w:t>
            </w:r>
            <w:r>
              <w:rPr>
                <w:rFonts w:hAnsi="宋体" w:cs="宋体"/>
              </w:rPr>
              <w:t>分）为仅部分实现主体功能，演示未基于完整实际系统，存在原型或静态展示情况，系统运行不稳定或体验较差，无法覆盖关键参数要求，且缺乏真实部署案例及AI核心能力（如风险分层与动态预警）的有效展示，整体难以支持实际应用。</w:t>
            </w:r>
          </w:p>
          <w:p w14:paraId="2B471BB0">
            <w:pPr>
              <w:rPr>
                <w:rFonts w:hAnsi="宋体" w:cs="宋体"/>
              </w:rPr>
            </w:pPr>
          </w:p>
          <w:p w14:paraId="697E2DA5">
            <w:pPr>
              <w:rPr>
                <w:rFonts w:hAnsi="宋体" w:cs="宋体"/>
              </w:rPr>
            </w:pPr>
            <w:r>
              <w:rPr>
                <w:rFonts w:hAnsi="宋体" w:cs="宋体"/>
              </w:rPr>
              <w:t>二档（</w:t>
            </w:r>
            <w:r>
              <w:rPr>
                <w:rFonts w:hint="eastAsia" w:hAnsi="宋体" w:cs="宋体"/>
              </w:rPr>
              <w:t>10</w:t>
            </w:r>
            <w:r>
              <w:rPr>
                <w:rFonts w:hAnsi="宋体" w:cs="宋体"/>
              </w:rPr>
              <w:t>分）为系统基本实现主体功能，但部分功能存在不完整或深度不足情况，系统运行较为稳定但流畅度一般，演示虽基于实际系统或接近实际系统，但部分功能依赖简化逻辑或展示不充分，数据或部署案例说服力一般，AI能力或科研支撑体现不足。</w:t>
            </w:r>
          </w:p>
          <w:p w14:paraId="534D6150">
            <w:pPr>
              <w:rPr>
                <w:rFonts w:hAnsi="宋体" w:cs="宋体"/>
              </w:rPr>
            </w:pPr>
            <w:r>
              <w:rPr>
                <w:rFonts w:hAnsi="宋体" w:cs="宋体"/>
              </w:rPr>
              <w:t>三档（</w:t>
            </w:r>
            <w:r>
              <w:rPr>
                <w:rFonts w:hint="eastAsia" w:hAnsi="宋体" w:cs="宋体"/>
              </w:rPr>
              <w:t>15</w:t>
            </w:r>
            <w:r>
              <w:rPr>
                <w:rFonts w:hAnsi="宋体" w:cs="宋体"/>
              </w:rPr>
              <w:t>分）要求系统能够完整实现参数要求中的全部核心功能，系统成熟度高，APP、Web或微信小程序运行流畅稳定，界面美观、布局合理、交互清晰，并基于真实系统进行演示（非原型或拼接展示），同时具备智能编排能力及AI风险分层与动态预警功能的完整展示，整体体现出良好的实际落地能力与规模化推广潜力。</w:t>
            </w:r>
          </w:p>
        </w:tc>
        <w:tc>
          <w:tcPr>
            <w:tcW w:w="709" w:type="dxa"/>
            <w:vAlign w:val="center"/>
          </w:tcPr>
          <w:p w14:paraId="5A9B0F8E">
            <w:pPr>
              <w:jc w:val="center"/>
              <w:rPr>
                <w:rFonts w:hAnsi="宋体" w:cs="宋体"/>
              </w:rPr>
            </w:pPr>
            <w:r>
              <w:rPr>
                <w:rFonts w:hAnsi="宋体" w:cs="宋体"/>
              </w:rPr>
              <w:t>1</w:t>
            </w:r>
            <w:r>
              <w:rPr>
                <w:rFonts w:hint="eastAsia" w:hAnsi="宋体" w:cs="宋体"/>
              </w:rPr>
              <w:t>5</w:t>
            </w:r>
          </w:p>
        </w:tc>
      </w:tr>
    </w:tbl>
    <w:p w14:paraId="2A8E9588">
      <w:pPr>
        <w:pStyle w:val="10"/>
        <w:widowControl/>
        <w:wordWrap w:val="0"/>
        <w:spacing w:beforeAutospacing="0" w:afterAutospacing="0"/>
        <w:jc w:val="both"/>
        <w:rPr>
          <w:rFonts w:ascii="宋体" w:hAnsi="宋体" w:eastAsia="宋体" w:cs="宋体"/>
          <w:b/>
          <w:bCs/>
          <w:lang w:bidi="ar"/>
        </w:rPr>
      </w:pPr>
    </w:p>
    <w:p w14:paraId="2B9D34C4"/>
    <w:sectPr>
      <w:headerReference r:id="rId3" w:type="default"/>
      <w:footerReference r:id="rId4" w:type="default"/>
      <w:pgSz w:w="11906" w:h="16838"/>
      <w:pgMar w:top="1440" w:right="1800" w:bottom="1440" w:left="1800" w:header="96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E574174-1E66-4FD3-8541-A93F1671A9F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D25FEB8-A685-4E8B-9DE6-2081BA6E6333}"/>
  </w:font>
  <w:font w:name="方正小标宋简体">
    <w:panose1 w:val="02000000000000000000"/>
    <w:charset w:val="86"/>
    <w:family w:val="script"/>
    <w:pitch w:val="default"/>
    <w:sig w:usb0="00000001" w:usb1="08000000" w:usb2="00000000" w:usb3="00000000" w:csb0="00040000" w:csb1="00000000"/>
    <w:embedRegular r:id="rId3" w:fontKey="{90C6BDD9-763A-4EB7-90A1-B34649354CC2}"/>
  </w:font>
  <w:font w:name="华文仿宋">
    <w:altName w:val="仿宋"/>
    <w:panose1 w:val="02010600040101010101"/>
    <w:charset w:val="86"/>
    <w:family w:val="auto"/>
    <w:pitch w:val="default"/>
    <w:sig w:usb0="00000000" w:usb1="00000000" w:usb2="00000010" w:usb3="00000000" w:csb0="0004009F" w:csb1="00000000"/>
    <w:embedRegular r:id="rId4" w:fontKey="{0127B84B-483D-439A-971D-2F3E4BBDB106}"/>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5" w:fontKey="{014F0545-78EA-4C4F-8A23-9782A9249B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3147271"/>
    </w:sdtPr>
    <w:sdtContent>
      <w:sdt>
        <w:sdtPr>
          <w:id w:val="1728636285"/>
        </w:sdtPr>
        <w:sdtContent>
          <w:p w14:paraId="1D1556D0">
            <w:pPr>
              <w:pStyle w:val="8"/>
              <w:jc w:val="center"/>
            </w:pPr>
            <w:r>
              <w:rPr>
                <w:lang w:val="zh-CN"/>
              </w:rPr>
              <w:t xml:space="preserve"> </w:t>
            </w:r>
            <w:r>
              <w:rPr>
                <w:b/>
                <w:bCs/>
                <w:sz w:val="24"/>
              </w:rPr>
              <w:fldChar w:fldCharType="begin"/>
            </w:r>
            <w:r>
              <w:rPr>
                <w:b/>
                <w:bCs/>
              </w:rPr>
              <w:instrText xml:space="preserve">PAGE</w:instrText>
            </w:r>
            <w:r>
              <w:rPr>
                <w:b/>
                <w:bCs/>
                <w:sz w:val="24"/>
              </w:rPr>
              <w:fldChar w:fldCharType="separate"/>
            </w:r>
            <w:r>
              <w:rPr>
                <w:b/>
                <w:bCs/>
              </w:rPr>
              <w:t>8</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8</w:t>
            </w:r>
            <w:r>
              <w:rPr>
                <w:b/>
                <w:bCs/>
                <w:sz w:val="24"/>
              </w:rPr>
              <w:fldChar w:fldCharType="end"/>
            </w:r>
          </w:p>
        </w:sdtContent>
      </w:sdt>
    </w:sdtContent>
  </w:sdt>
  <w:p w14:paraId="4B439856">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3B42E">
    <w:pPr>
      <w:pStyle w:val="9"/>
      <w:rPr>
        <w:sz w:val="21"/>
        <w:szCs w:val="21"/>
      </w:rPr>
    </w:pPr>
    <w:r>
      <w:rPr>
        <w:rFonts w:hint="eastAsia"/>
        <w:sz w:val="21"/>
        <w:szCs w:val="21"/>
      </w:rPr>
      <w:t>使用科室民主管理小组签字：</w:t>
    </w:r>
    <w:r>
      <w:rPr>
        <w:rFonts w:hint="eastAsia"/>
      </w:rPr>
      <w:t xml:space="preserve">                                </w:t>
    </w:r>
    <w:r>
      <w:rPr>
        <w:rFonts w:hint="eastAsia"/>
        <w:sz w:val="21"/>
        <w:szCs w:val="21"/>
      </w:rPr>
      <w:t>项目紧急程度：</w:t>
    </w:r>
    <w:r>
      <w:rPr>
        <w:rFonts w:hint="eastAsia"/>
        <w:sz w:val="21"/>
        <w:szCs w:val="21"/>
      </w:rPr>
      <w:sym w:font="Wingdings" w:char="00A8"/>
    </w:r>
    <w:r>
      <w:rPr>
        <w:rFonts w:hint="eastAsia"/>
        <w:sz w:val="21"/>
        <w:szCs w:val="21"/>
      </w:rPr>
      <w:t xml:space="preserve">紧急 </w:t>
    </w:r>
    <w:r>
      <w:rPr>
        <w:rFonts w:hint="eastAsia"/>
        <w:sz w:val="21"/>
        <w:szCs w:val="21"/>
      </w:rPr>
      <w:sym w:font="Wingdings" w:char="00A8"/>
    </w:r>
    <w:r>
      <w:rPr>
        <w:rFonts w:hint="eastAsia"/>
        <w:sz w:val="21"/>
        <w:szCs w:val="21"/>
      </w:rPr>
      <w:t>一般</w:t>
    </w:r>
  </w:p>
  <w:p w14:paraId="51A3B42F">
    <w:pPr>
      <w:pStyle w:val="9"/>
      <w:pBdr>
        <w:bottom w:val="dotted" w:color="auto" w:sz="4" w:space="1"/>
      </w:pBd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8C7FB7"/>
    <w:multiLevelType w:val="singleLevel"/>
    <w:tmpl w:val="DB8C7FB7"/>
    <w:lvl w:ilvl="0" w:tentative="0">
      <w:start w:val="1"/>
      <w:numFmt w:val="decimal"/>
      <w:lvlText w:val="%1."/>
      <w:lvlJc w:val="left"/>
      <w:pPr>
        <w:ind w:left="993" w:hanging="425"/>
      </w:pPr>
      <w:rPr>
        <w:rFonts w:hint="default"/>
      </w:rPr>
    </w:lvl>
  </w:abstractNum>
  <w:abstractNum w:abstractNumId="1">
    <w:nsid w:val="29E4B9F9"/>
    <w:multiLevelType w:val="multilevel"/>
    <w:tmpl w:val="29E4B9F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2">
    <w:nsid w:val="53DDBE85"/>
    <w:multiLevelType w:val="singleLevel"/>
    <w:tmpl w:val="53DDBE85"/>
    <w:lvl w:ilvl="0" w:tentative="0">
      <w:start w:val="1"/>
      <w:numFmt w:val="chineseCounting"/>
      <w:suff w:val="nothing"/>
      <w:lvlText w:val="（%1）"/>
      <w:lvlJc w:val="left"/>
      <w:pPr>
        <w:ind w:left="70" w:firstLine="420"/>
      </w:pPr>
      <w:rPr>
        <w:rFonts w:hint="eastAsia"/>
      </w:rPr>
    </w:lvl>
  </w:abstractNum>
  <w:abstractNum w:abstractNumId="3">
    <w:nsid w:val="78A3DF22"/>
    <w:multiLevelType w:val="singleLevel"/>
    <w:tmpl w:val="78A3DF22"/>
    <w:lvl w:ilvl="0" w:tentative="0">
      <w:start w:val="1"/>
      <w:numFmt w:val="chineseCounting"/>
      <w:suff w:val="nothing"/>
      <w:lvlText w:val="（%1）"/>
      <w:lvlJc w:val="left"/>
      <w:pPr>
        <w:ind w:left="0" w:firstLine="42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EA176D"/>
    <w:rsid w:val="00022A50"/>
    <w:rsid w:val="00036B61"/>
    <w:rsid w:val="0005724E"/>
    <w:rsid w:val="00092812"/>
    <w:rsid w:val="00100098"/>
    <w:rsid w:val="0014074B"/>
    <w:rsid w:val="001506B6"/>
    <w:rsid w:val="001B3C90"/>
    <w:rsid w:val="002053B5"/>
    <w:rsid w:val="00216E7C"/>
    <w:rsid w:val="00224F8A"/>
    <w:rsid w:val="0026247B"/>
    <w:rsid w:val="0026348D"/>
    <w:rsid w:val="00273EFC"/>
    <w:rsid w:val="00275C5A"/>
    <w:rsid w:val="00291295"/>
    <w:rsid w:val="00296044"/>
    <w:rsid w:val="002A1750"/>
    <w:rsid w:val="002F1ABD"/>
    <w:rsid w:val="003073DE"/>
    <w:rsid w:val="00375A9E"/>
    <w:rsid w:val="00387992"/>
    <w:rsid w:val="003946BB"/>
    <w:rsid w:val="003975C1"/>
    <w:rsid w:val="003C2932"/>
    <w:rsid w:val="004002B1"/>
    <w:rsid w:val="004365D0"/>
    <w:rsid w:val="00492D26"/>
    <w:rsid w:val="00495168"/>
    <w:rsid w:val="004A5FF8"/>
    <w:rsid w:val="004D1A6F"/>
    <w:rsid w:val="00517114"/>
    <w:rsid w:val="00557760"/>
    <w:rsid w:val="0056743D"/>
    <w:rsid w:val="005F0356"/>
    <w:rsid w:val="005F6834"/>
    <w:rsid w:val="006115C3"/>
    <w:rsid w:val="00646497"/>
    <w:rsid w:val="006A2E4A"/>
    <w:rsid w:val="006D3F52"/>
    <w:rsid w:val="006D72B0"/>
    <w:rsid w:val="00716A6F"/>
    <w:rsid w:val="007412CC"/>
    <w:rsid w:val="007533A2"/>
    <w:rsid w:val="007556B6"/>
    <w:rsid w:val="0079487F"/>
    <w:rsid w:val="0082644A"/>
    <w:rsid w:val="00841F58"/>
    <w:rsid w:val="008542E0"/>
    <w:rsid w:val="00896881"/>
    <w:rsid w:val="008A1FF1"/>
    <w:rsid w:val="008A2C1D"/>
    <w:rsid w:val="008F7E87"/>
    <w:rsid w:val="00903DE3"/>
    <w:rsid w:val="00905871"/>
    <w:rsid w:val="0092440D"/>
    <w:rsid w:val="009271A1"/>
    <w:rsid w:val="009A23BF"/>
    <w:rsid w:val="009C1E30"/>
    <w:rsid w:val="009E6EFC"/>
    <w:rsid w:val="009F3BF8"/>
    <w:rsid w:val="00A00350"/>
    <w:rsid w:val="00A50EF2"/>
    <w:rsid w:val="00A84188"/>
    <w:rsid w:val="00AD6CB5"/>
    <w:rsid w:val="00AE21BB"/>
    <w:rsid w:val="00B86468"/>
    <w:rsid w:val="00BC6501"/>
    <w:rsid w:val="00C079CD"/>
    <w:rsid w:val="00C263C8"/>
    <w:rsid w:val="00C55B32"/>
    <w:rsid w:val="00C82A02"/>
    <w:rsid w:val="00CF661F"/>
    <w:rsid w:val="00D71E30"/>
    <w:rsid w:val="00D963F8"/>
    <w:rsid w:val="00E44DC7"/>
    <w:rsid w:val="00EB4E6E"/>
    <w:rsid w:val="00EF77B5"/>
    <w:rsid w:val="011078C7"/>
    <w:rsid w:val="01633E9B"/>
    <w:rsid w:val="04FD1AA7"/>
    <w:rsid w:val="06604E4C"/>
    <w:rsid w:val="07AD40C1"/>
    <w:rsid w:val="08420CAE"/>
    <w:rsid w:val="09000221"/>
    <w:rsid w:val="09860201"/>
    <w:rsid w:val="09DE301A"/>
    <w:rsid w:val="0ABA0FCF"/>
    <w:rsid w:val="0E7B0A75"/>
    <w:rsid w:val="0F554CE2"/>
    <w:rsid w:val="0F566DED"/>
    <w:rsid w:val="101A42BE"/>
    <w:rsid w:val="116E4344"/>
    <w:rsid w:val="12CA4521"/>
    <w:rsid w:val="12F471D6"/>
    <w:rsid w:val="136C4E31"/>
    <w:rsid w:val="15282FD9"/>
    <w:rsid w:val="159D7523"/>
    <w:rsid w:val="167A7865"/>
    <w:rsid w:val="17EA176D"/>
    <w:rsid w:val="18251466"/>
    <w:rsid w:val="186513CE"/>
    <w:rsid w:val="18BC5F12"/>
    <w:rsid w:val="197C7DC7"/>
    <w:rsid w:val="1B950C9D"/>
    <w:rsid w:val="1CBD5448"/>
    <w:rsid w:val="1CF55E97"/>
    <w:rsid w:val="1D1B1C3C"/>
    <w:rsid w:val="1EEB57A3"/>
    <w:rsid w:val="207B66B3"/>
    <w:rsid w:val="22545A75"/>
    <w:rsid w:val="238F1090"/>
    <w:rsid w:val="261F53F5"/>
    <w:rsid w:val="266F0A68"/>
    <w:rsid w:val="27E82557"/>
    <w:rsid w:val="28951D06"/>
    <w:rsid w:val="28F9286B"/>
    <w:rsid w:val="29A24CB1"/>
    <w:rsid w:val="2ADE61BC"/>
    <w:rsid w:val="2BE55328"/>
    <w:rsid w:val="2CEB696E"/>
    <w:rsid w:val="2EC35DF5"/>
    <w:rsid w:val="304C5976"/>
    <w:rsid w:val="314C7323"/>
    <w:rsid w:val="322C1F03"/>
    <w:rsid w:val="326569F4"/>
    <w:rsid w:val="357C0AAC"/>
    <w:rsid w:val="376161AB"/>
    <w:rsid w:val="38FB714A"/>
    <w:rsid w:val="3B5878C5"/>
    <w:rsid w:val="3B806E1C"/>
    <w:rsid w:val="3CBE19AA"/>
    <w:rsid w:val="3D2A34E3"/>
    <w:rsid w:val="3DD31485"/>
    <w:rsid w:val="3F620D12"/>
    <w:rsid w:val="40A610D2"/>
    <w:rsid w:val="41410DFB"/>
    <w:rsid w:val="41E7318A"/>
    <w:rsid w:val="42C36563"/>
    <w:rsid w:val="43FF30AC"/>
    <w:rsid w:val="47BFE035"/>
    <w:rsid w:val="48353819"/>
    <w:rsid w:val="48671147"/>
    <w:rsid w:val="4C244C18"/>
    <w:rsid w:val="4D5F2D35"/>
    <w:rsid w:val="4E956E43"/>
    <w:rsid w:val="4EB26E94"/>
    <w:rsid w:val="4F343D4D"/>
    <w:rsid w:val="50E14A1F"/>
    <w:rsid w:val="53FC2179"/>
    <w:rsid w:val="55B17EA6"/>
    <w:rsid w:val="56925F29"/>
    <w:rsid w:val="569A32A2"/>
    <w:rsid w:val="570566FB"/>
    <w:rsid w:val="573C7C43"/>
    <w:rsid w:val="579932E7"/>
    <w:rsid w:val="579C65DA"/>
    <w:rsid w:val="57E83927"/>
    <w:rsid w:val="598C17B9"/>
    <w:rsid w:val="5F277D5A"/>
    <w:rsid w:val="626A1B08"/>
    <w:rsid w:val="626E292D"/>
    <w:rsid w:val="63952BB5"/>
    <w:rsid w:val="6746382A"/>
    <w:rsid w:val="68CA6198"/>
    <w:rsid w:val="6994390F"/>
    <w:rsid w:val="6AD824D8"/>
    <w:rsid w:val="6CE801F9"/>
    <w:rsid w:val="6E054DDB"/>
    <w:rsid w:val="715A32DB"/>
    <w:rsid w:val="73EB05CF"/>
    <w:rsid w:val="74A7099A"/>
    <w:rsid w:val="74F65FDA"/>
    <w:rsid w:val="75C630A2"/>
    <w:rsid w:val="781D40CA"/>
    <w:rsid w:val="7A356A48"/>
    <w:rsid w:val="7CB7150A"/>
    <w:rsid w:val="7D624BEB"/>
    <w:rsid w:val="7E9D1B58"/>
    <w:rsid w:val="7F21759B"/>
    <w:rsid w:val="7F7D1A26"/>
    <w:rsid w:val="7F923FF5"/>
    <w:rsid w:val="DB353230"/>
    <w:rsid w:val="DFEFE7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qFormat/>
    <w:uiPriority w:val="0"/>
    <w:pPr>
      <w:keepNext/>
      <w:keepLines/>
      <w:outlineLvl w:val="2"/>
    </w:pPr>
    <w:rPr>
      <w:b/>
      <w:bCs/>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ind w:left="420" w:leftChars="200"/>
    </w:pPr>
  </w:style>
  <w:style w:type="paragraph" w:styleId="5">
    <w:name w:val="annotation text"/>
    <w:basedOn w:val="1"/>
    <w:qFormat/>
    <w:uiPriority w:val="0"/>
    <w:pPr>
      <w:jc w:val="left"/>
    </w:pPr>
  </w:style>
  <w:style w:type="paragraph" w:styleId="6">
    <w:name w:val="Body Text"/>
    <w:basedOn w:val="1"/>
    <w:next w:val="1"/>
    <w:qFormat/>
    <w:uiPriority w:val="1"/>
    <w:pPr>
      <w:spacing w:before="45"/>
      <w:ind w:left="115"/>
      <w:jc w:val="left"/>
    </w:pPr>
    <w:rPr>
      <w:rFonts w:ascii="宋体" w:hAnsi="宋体" w:cs="宋体"/>
      <w:kern w:val="0"/>
      <w:sz w:val="30"/>
      <w:szCs w:val="30"/>
      <w:lang w:eastAsia="en-US"/>
    </w:rPr>
  </w:style>
  <w:style w:type="paragraph" w:styleId="7">
    <w:name w:val="Balloon Text"/>
    <w:basedOn w:val="1"/>
    <w:link w:val="17"/>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4">
    <w:name w:val="Strong"/>
    <w:basedOn w:val="13"/>
    <w:qFormat/>
    <w:uiPriority w:val="0"/>
    <w:rPr>
      <w:b/>
    </w:rPr>
  </w:style>
  <w:style w:type="character" w:styleId="15">
    <w:name w:val="annotation reference"/>
    <w:basedOn w:val="13"/>
    <w:qFormat/>
    <w:uiPriority w:val="0"/>
    <w:rPr>
      <w:sz w:val="21"/>
      <w:szCs w:val="21"/>
    </w:rPr>
  </w:style>
  <w:style w:type="paragraph" w:customStyle="1" w:styleId="16">
    <w:name w:val="列出段落1"/>
    <w:basedOn w:val="1"/>
    <w:qFormat/>
    <w:uiPriority w:val="0"/>
    <w:pPr>
      <w:ind w:firstLine="420" w:firstLineChars="200"/>
    </w:pPr>
    <w:rPr>
      <w:rFonts w:ascii="Calibri" w:hAnsi="Calibri" w:eastAsia="宋体" w:cs="Times New Roman"/>
      <w:szCs w:val="21"/>
    </w:rPr>
  </w:style>
  <w:style w:type="character" w:customStyle="1" w:styleId="17">
    <w:name w:val="批注框文本 字符"/>
    <w:basedOn w:val="13"/>
    <w:link w:val="7"/>
    <w:qFormat/>
    <w:uiPriority w:val="0"/>
    <w:rPr>
      <w:rFonts w:asciiTheme="minorHAnsi" w:hAnsiTheme="minorHAnsi" w:eastAsiaTheme="minorEastAsia" w:cstheme="minorBidi"/>
      <w:kern w:val="2"/>
      <w:sz w:val="18"/>
      <w:szCs w:val="18"/>
    </w:rPr>
  </w:style>
  <w:style w:type="character" w:customStyle="1" w:styleId="18">
    <w:name w:val="页脚 字符"/>
    <w:basedOn w:val="13"/>
    <w:link w:val="8"/>
    <w:qFormat/>
    <w:uiPriority w:val="99"/>
    <w:rPr>
      <w:rFonts w:asciiTheme="minorHAnsi" w:hAnsiTheme="minorHAnsi" w:eastAsiaTheme="minorEastAsia" w:cstheme="minorBidi"/>
      <w:kern w:val="2"/>
      <w:sz w:val="18"/>
      <w:szCs w:val="24"/>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0"/>
      <w:szCs w:val="20"/>
      <w:lang w:eastAsia="en-US"/>
    </w:rPr>
  </w:style>
  <w:style w:type="paragraph" w:styleId="2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2158</Words>
  <Characters>2257</Characters>
  <Lines>40</Lines>
  <Paragraphs>11</Paragraphs>
  <TotalTime>1</TotalTime>
  <ScaleCrop>false</ScaleCrop>
  <LinksUpToDate>false</LinksUpToDate>
  <CharactersWithSpaces>2275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2026-03-20T07:37:00Z</dcterms:created>
  <dc:creator>正節</dc:creator>
  <cp:lastModifiedBy>我爱熊猫</cp:lastModifiedBy>
  <cp:lastPrinted>2026-02-26T07:55:00Z</cp:lastPrinted>
  <dcterms:modified xsi:type="dcterms:W3CDTF">2026-04-22T09:39:25Z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C941E2D9EEEF4B60AF4BDDF1AB5F72AE_13</vt:lpwstr>
  </property>
  <property fmtid="{D5CDD505-2E9C-101B-9397-08002B2CF9AE}" pid="4" name="KSOTemplateDocerSaveRecord">
    <vt:lpwstr>eyJoZGlkIjoiYzRlYzk2ZGE4ZTc3YmQ2YzUwOTE0NThjY2Q0NjA3YjEiLCJ1c2VySWQiOiIyMzc0MzQyMjEifQ==</vt:lpwstr>
  </property>
</Properties>
</file>