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D50A">
      <w:pPr>
        <w:pStyle w:val="41"/>
        <w:ind w:left="0" w:firstLine="0"/>
        <w:jc w:val="left"/>
        <w:rPr>
          <w:rFonts w:hint="default" w:eastAsia="宋体"/>
          <w:b/>
          <w:sz w:val="28"/>
          <w:szCs w:val="28"/>
          <w:lang w:val="en-US" w:eastAsia="zh-CN"/>
        </w:rPr>
      </w:pPr>
      <w:r>
        <w:rPr>
          <w:rFonts w:hint="eastAsia"/>
          <w:b/>
          <w:sz w:val="28"/>
          <w:szCs w:val="28"/>
          <w:lang w:val="en-US" w:eastAsia="zh-CN"/>
        </w:rPr>
        <w:t>附件2</w:t>
      </w:r>
    </w:p>
    <w:p w14:paraId="20BB6C26">
      <w:pPr>
        <w:pStyle w:val="41"/>
        <w:jc w:val="center"/>
        <w:rPr>
          <w:rFonts w:hint="eastAsia"/>
          <w:b/>
          <w:sz w:val="28"/>
          <w:szCs w:val="28"/>
        </w:rPr>
      </w:pPr>
      <w:r>
        <w:rPr>
          <w:rFonts w:hint="eastAsia"/>
          <w:b/>
          <w:sz w:val="28"/>
          <w:szCs w:val="28"/>
        </w:rPr>
        <w:t>病案</w:t>
      </w:r>
      <w:r>
        <w:rPr>
          <w:rFonts w:hint="eastAsia"/>
          <w:b/>
          <w:sz w:val="28"/>
          <w:szCs w:val="28"/>
          <w:lang w:eastAsia="zh-CN"/>
        </w:rPr>
        <w:t>（</w:t>
      </w:r>
      <w:r>
        <w:rPr>
          <w:rFonts w:hint="eastAsia"/>
          <w:b/>
          <w:sz w:val="28"/>
          <w:szCs w:val="28"/>
        </w:rPr>
        <w:t>统计</w:t>
      </w:r>
      <w:r>
        <w:rPr>
          <w:rFonts w:hint="eastAsia"/>
          <w:b/>
          <w:sz w:val="28"/>
          <w:szCs w:val="28"/>
          <w:lang w:eastAsia="zh-CN"/>
        </w:rPr>
        <w:t>）</w:t>
      </w:r>
      <w:r>
        <w:rPr>
          <w:rFonts w:hint="eastAsia"/>
          <w:b/>
          <w:sz w:val="28"/>
          <w:szCs w:val="28"/>
        </w:rPr>
        <w:t>管理系统</w:t>
      </w:r>
      <w:r>
        <w:rPr>
          <w:rFonts w:hint="eastAsia"/>
          <w:b/>
          <w:sz w:val="28"/>
          <w:szCs w:val="28"/>
          <w:lang w:val="en-US" w:eastAsia="zh-CN"/>
        </w:rPr>
        <w:t>采购需求</w:t>
      </w:r>
      <w:bookmarkStart w:id="1" w:name="_GoBack"/>
      <w:bookmarkEnd w:id="1"/>
    </w:p>
    <w:p w14:paraId="365DE8A7">
      <w:pPr>
        <w:pStyle w:val="20"/>
        <w:rPr>
          <w:rFonts w:hint="eastAsia"/>
        </w:rPr>
      </w:pPr>
    </w:p>
    <w:p w14:paraId="59D156B0">
      <w:pPr>
        <w:numPr>
          <w:ilvl w:val="0"/>
          <w:numId w:val="1"/>
        </w:numPr>
        <w:spacing w:line="52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项目概况</w:t>
      </w:r>
    </w:p>
    <w:p w14:paraId="7E63F3FC">
      <w:pPr>
        <w:numPr>
          <w:ilvl w:val="0"/>
          <w:numId w:val="2"/>
        </w:num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采购单位：</w:t>
      </w:r>
      <w:bookmarkStart w:id="0" w:name="OLE_LINK21"/>
      <w:r>
        <w:rPr>
          <w:rFonts w:hint="eastAsia" w:asciiTheme="minorEastAsia" w:hAnsiTheme="minorEastAsia" w:cstheme="minorEastAsia"/>
          <w:sz w:val="24"/>
        </w:rPr>
        <w:t>中山大学附属第一医院广西医院</w:t>
      </w:r>
      <w:bookmarkEnd w:id="0"/>
    </w:p>
    <w:p w14:paraId="4453BA97">
      <w:pPr>
        <w:numPr>
          <w:ilvl w:val="0"/>
          <w:numId w:val="2"/>
        </w:num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项目名称：病案</w:t>
      </w:r>
      <w:r>
        <w:rPr>
          <w:rFonts w:hint="eastAsia" w:asciiTheme="minorEastAsia" w:hAnsiTheme="minorEastAsia" w:cstheme="minorEastAsia"/>
          <w:sz w:val="24"/>
          <w:lang w:eastAsia="zh-CN"/>
        </w:rPr>
        <w:t>（</w:t>
      </w:r>
      <w:r>
        <w:rPr>
          <w:rFonts w:hint="eastAsia" w:asciiTheme="minorEastAsia" w:hAnsiTheme="minorEastAsia" w:cstheme="minorEastAsia"/>
          <w:sz w:val="24"/>
        </w:rPr>
        <w:t>统计</w:t>
      </w:r>
      <w:r>
        <w:rPr>
          <w:rFonts w:hint="eastAsia" w:asciiTheme="minorEastAsia" w:hAnsiTheme="minorEastAsia" w:cstheme="minorEastAsia"/>
          <w:sz w:val="24"/>
          <w:lang w:eastAsia="zh-CN"/>
        </w:rPr>
        <w:t>）</w:t>
      </w:r>
      <w:r>
        <w:rPr>
          <w:rFonts w:hint="eastAsia" w:asciiTheme="minorEastAsia" w:hAnsiTheme="minorEastAsia" w:cstheme="minorEastAsia"/>
          <w:sz w:val="24"/>
        </w:rPr>
        <w:t>管理系统</w:t>
      </w:r>
    </w:p>
    <w:p w14:paraId="01464AD2">
      <w:pPr>
        <w:numPr>
          <w:ilvl w:val="0"/>
          <w:numId w:val="2"/>
        </w:num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项目地点：广西壮族自治区南宁市青秀区佛子岭路3号</w:t>
      </w:r>
    </w:p>
    <w:p w14:paraId="4338B084">
      <w:pPr>
        <w:numPr>
          <w:ilvl w:val="0"/>
          <w:numId w:val="2"/>
        </w:num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采购预算：</w:t>
      </w:r>
      <w:r>
        <w:rPr>
          <w:rFonts w:hint="eastAsia" w:asciiTheme="minorEastAsia" w:hAnsiTheme="minorEastAsia" w:cstheme="minorEastAsia"/>
          <w:sz w:val="24"/>
          <w:lang w:val="en-US" w:eastAsia="zh-CN"/>
        </w:rPr>
        <w:t>30</w:t>
      </w:r>
      <w:r>
        <w:rPr>
          <w:rFonts w:hint="eastAsia" w:asciiTheme="minorEastAsia" w:hAnsiTheme="minorEastAsia" w:cstheme="minorEastAsia"/>
          <w:sz w:val="24"/>
        </w:rPr>
        <w:t>万</w:t>
      </w:r>
    </w:p>
    <w:p w14:paraId="138073BB">
      <w:pPr>
        <w:numPr>
          <w:ilvl w:val="0"/>
          <w:numId w:val="2"/>
        </w:num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采购上控价：</w:t>
      </w:r>
      <w:r>
        <w:rPr>
          <w:rFonts w:hint="eastAsia" w:asciiTheme="minorEastAsia" w:hAnsiTheme="minorEastAsia" w:cstheme="minorEastAsia"/>
          <w:sz w:val="24"/>
          <w:lang w:val="en-US" w:eastAsia="zh-CN"/>
        </w:rPr>
        <w:t>28.8</w:t>
      </w:r>
      <w:r>
        <w:rPr>
          <w:rFonts w:hint="eastAsia" w:asciiTheme="minorEastAsia" w:hAnsiTheme="minorEastAsia" w:cstheme="minorEastAsia"/>
          <w:sz w:val="24"/>
        </w:rPr>
        <w:t>万元</w:t>
      </w:r>
    </w:p>
    <w:p w14:paraId="0E1810CF">
      <w:pPr>
        <w:numPr>
          <w:ilvl w:val="0"/>
          <w:numId w:val="2"/>
        </w:numPr>
        <w:spacing w:line="52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采购方式：院内磋商</w:t>
      </w:r>
    </w:p>
    <w:p w14:paraId="0DC403EF">
      <w:pPr>
        <w:numPr>
          <w:ilvl w:val="0"/>
          <w:numId w:val="2"/>
        </w:numPr>
        <w:spacing w:line="520" w:lineRule="exact"/>
        <w:ind w:firstLine="480" w:firstLineChars="200"/>
        <w:rPr>
          <w:rFonts w:hint="eastAsia" w:eastAsia="宋体" w:asciiTheme="minorEastAsia" w:hAnsiTheme="minorEastAsia" w:cstheme="minorEastAsia"/>
          <w:sz w:val="24"/>
          <w:lang w:eastAsia="zh-CN"/>
        </w:rPr>
      </w:pPr>
      <w:r>
        <w:rPr>
          <w:rFonts w:hint="eastAsia" w:asciiTheme="minorEastAsia" w:hAnsiTheme="minorEastAsia" w:cstheme="minorEastAsia"/>
          <w:sz w:val="24"/>
          <w:lang w:val="en-US" w:eastAsia="zh-CN"/>
        </w:rPr>
        <w:t>服务期限：采购合同签订之日起30个日历日完成项目全部建设内容并交付上线。免费质保维护期不少于1年，自验收合格之日起算。</w:t>
      </w:r>
    </w:p>
    <w:p w14:paraId="52616FC6">
      <w:pPr>
        <w:numPr>
          <w:ilvl w:val="0"/>
          <w:numId w:val="1"/>
        </w:numPr>
        <w:spacing w:line="52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资质要求</w:t>
      </w:r>
    </w:p>
    <w:p w14:paraId="69604977">
      <w:pPr>
        <w:numPr>
          <w:ilvl w:val="0"/>
          <w:numId w:val="3"/>
        </w:numPr>
        <w:spacing w:line="520" w:lineRule="exact"/>
        <w:ind w:firstLine="560"/>
        <w:rPr>
          <w:rFonts w:hint="eastAsia" w:asciiTheme="minorEastAsia" w:hAnsiTheme="minorEastAsia" w:cstheme="minorEastAsia"/>
          <w:sz w:val="24"/>
        </w:rPr>
      </w:pPr>
      <w:r>
        <w:rPr>
          <w:rFonts w:hint="eastAsia" w:asciiTheme="minorEastAsia" w:hAnsiTheme="minorEastAsia" w:cstheme="minorEastAsia"/>
          <w:sz w:val="24"/>
        </w:rPr>
        <w:t>具有国内独立法人资格，注册经营范围满足本项目内容的供应商。</w:t>
      </w:r>
    </w:p>
    <w:p w14:paraId="7A6DB75B">
      <w:pPr>
        <w:pStyle w:val="2"/>
        <w:spacing w:line="360" w:lineRule="auto"/>
        <w:ind w:left="0" w:leftChars="0" w:firstLine="636" w:firstLineChars="265"/>
        <w:rPr>
          <w:rFonts w:hint="eastAsia" w:eastAsia="宋体"/>
          <w:lang w:eastAsia="zh-CN"/>
        </w:rPr>
      </w:pPr>
      <w:r>
        <w:rPr>
          <w:rFonts w:hint="eastAsia" w:asciiTheme="minorEastAsia" w:hAnsiTheme="minorEastAsia" w:cstheme="minorEastAsia"/>
          <w:sz w:val="24"/>
          <w:lang w:eastAsia="zh-CN"/>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779E13C8">
      <w:pPr>
        <w:spacing w:line="520" w:lineRule="exact"/>
        <w:ind w:left="630"/>
        <w:rPr>
          <w:rFonts w:hint="eastAsia" w:asciiTheme="minorEastAsia" w:hAnsiTheme="minorEastAsia" w:cstheme="minorEastAsia"/>
          <w:sz w:val="24"/>
        </w:rPr>
      </w:pPr>
      <w:r>
        <w:rPr>
          <w:rFonts w:hint="eastAsia" w:asciiTheme="minorEastAsia" w:hAnsiTheme="minorEastAsia" w:cstheme="minorEastAsia"/>
          <w:sz w:val="24"/>
        </w:rPr>
        <w:t>（</w:t>
      </w:r>
      <w:r>
        <w:rPr>
          <w:rFonts w:hint="eastAsia" w:asciiTheme="minorEastAsia" w:hAnsiTheme="minorEastAsia" w:cstheme="minorEastAsia"/>
          <w:sz w:val="24"/>
          <w:lang w:val="en-US" w:eastAsia="zh-CN"/>
        </w:rPr>
        <w:t>三</w:t>
      </w:r>
      <w:r>
        <w:rPr>
          <w:rFonts w:hint="eastAsia" w:asciiTheme="minorEastAsia" w:hAnsiTheme="minorEastAsia" w:cstheme="minorEastAsia"/>
          <w:sz w:val="24"/>
        </w:rPr>
        <w:t>）本项目不接受联合体报名。</w:t>
      </w:r>
    </w:p>
    <w:p w14:paraId="2AED1BF4">
      <w:pPr>
        <w:spacing w:line="520" w:lineRule="exact"/>
        <w:ind w:left="420" w:leftChars="200"/>
        <w:rPr>
          <w:rFonts w:hint="eastAsia" w:asciiTheme="minorEastAsia" w:hAnsiTheme="minorEastAsia" w:cstheme="minorEastAsia"/>
          <w:b/>
          <w:bCs/>
          <w:sz w:val="24"/>
        </w:rPr>
      </w:pPr>
      <w:r>
        <w:rPr>
          <w:rFonts w:hint="eastAsia" w:asciiTheme="minorEastAsia" w:hAnsiTheme="minorEastAsia" w:cstheme="minorEastAsia"/>
          <w:b/>
          <w:bCs/>
          <w:sz w:val="24"/>
        </w:rPr>
        <w:t>三、采购参数</w:t>
      </w:r>
    </w:p>
    <w:p w14:paraId="31068AC2">
      <w:pPr>
        <w:snapToGrid w:val="0"/>
        <w:spacing w:line="360" w:lineRule="auto"/>
        <w:ind w:left="738" w:leftChars="204" w:hanging="310" w:hangingChars="147"/>
        <w:rPr>
          <w:rFonts w:hint="eastAsia" w:ascii="宋体" w:hAnsi="宋体"/>
          <w:b/>
          <w:bCs/>
          <w:color w:val="000000"/>
        </w:rPr>
      </w:pPr>
    </w:p>
    <w:p w14:paraId="06ACF614">
      <w:pPr>
        <w:snapToGrid w:val="0"/>
        <w:spacing w:line="360" w:lineRule="auto"/>
        <w:ind w:left="738" w:leftChars="204" w:hanging="310" w:hangingChars="147"/>
        <w:rPr>
          <w:rFonts w:hint="eastAsia" w:eastAsia="宋体"/>
          <w:lang w:eastAsia="zh-CN"/>
        </w:rPr>
      </w:pPr>
      <w:r>
        <w:rPr>
          <w:rFonts w:hint="eastAsia" w:ascii="宋体" w:hAnsi="宋体"/>
          <w:b/>
          <w:bCs/>
          <w:color w:val="000000"/>
        </w:rPr>
        <w:t>带“▲”号的参数内容为实质性要求和条件，是必须满足的参数，否则被视为无效投标。带“★”号的参数内容为重要要求和条件。</w:t>
      </w:r>
    </w:p>
    <w:tbl>
      <w:tblPr>
        <w:tblStyle w:val="17"/>
        <w:tblW w:w="8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6"/>
        <w:gridCol w:w="7061"/>
      </w:tblGrid>
      <w:tr w14:paraId="4658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jc w:val="center"/>
        </w:trPr>
        <w:tc>
          <w:tcPr>
            <w:tcW w:w="1306" w:type="dxa"/>
            <w:vAlign w:val="center"/>
          </w:tcPr>
          <w:p w14:paraId="6CC4366C">
            <w:pPr>
              <w:jc w:val="center"/>
              <w:rPr>
                <w:rFonts w:hint="eastAsia" w:ascii="宋体" w:hAnsi="宋体" w:eastAsia="宋体" w:cs="宋体"/>
                <w:b/>
                <w:sz w:val="24"/>
              </w:rPr>
            </w:pPr>
            <w:r>
              <w:rPr>
                <w:rFonts w:hint="eastAsia" w:ascii="宋体" w:hAnsi="宋体" w:eastAsia="宋体" w:cs="宋体"/>
                <w:b/>
                <w:sz w:val="24"/>
              </w:rPr>
              <w:t>功能模块</w:t>
            </w:r>
          </w:p>
        </w:tc>
        <w:tc>
          <w:tcPr>
            <w:tcW w:w="7061" w:type="dxa"/>
            <w:vAlign w:val="center"/>
          </w:tcPr>
          <w:p w14:paraId="397AB15B">
            <w:pPr>
              <w:jc w:val="center"/>
              <w:rPr>
                <w:rFonts w:hint="eastAsia" w:ascii="宋体" w:hAnsi="宋体" w:eastAsia="宋体" w:cs="宋体"/>
                <w:b/>
                <w:sz w:val="24"/>
              </w:rPr>
            </w:pPr>
            <w:r>
              <w:rPr>
                <w:rFonts w:hint="eastAsia" w:ascii="宋体" w:hAnsi="宋体" w:eastAsia="宋体" w:cs="宋体"/>
                <w:b/>
                <w:sz w:val="24"/>
              </w:rPr>
              <w:t>功能要求说明</w:t>
            </w:r>
          </w:p>
        </w:tc>
      </w:tr>
      <w:tr w14:paraId="6F96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1306" w:type="dxa"/>
            <w:vAlign w:val="center"/>
          </w:tcPr>
          <w:p w14:paraId="3834CBDF">
            <w:pPr>
              <w:rPr>
                <w:rFonts w:hint="eastAsia" w:ascii="宋体" w:hAnsi="宋体" w:eastAsia="宋体" w:cs="宋体"/>
                <w:b/>
                <w:sz w:val="24"/>
              </w:rPr>
            </w:pPr>
            <w:r>
              <w:rPr>
                <w:rFonts w:hint="eastAsia" w:ascii="宋体" w:hAnsi="宋体" w:eastAsia="宋体" w:cs="宋体"/>
                <w:szCs w:val="21"/>
              </w:rPr>
              <w:t>总体技术要求</w:t>
            </w:r>
          </w:p>
        </w:tc>
        <w:tc>
          <w:tcPr>
            <w:tcW w:w="7061" w:type="dxa"/>
            <w:vAlign w:val="center"/>
          </w:tcPr>
          <w:p w14:paraId="1AC9CD1D">
            <w:pPr>
              <w:numPr>
                <w:ilvl w:val="0"/>
                <w:numId w:val="4"/>
              </w:numPr>
              <w:jc w:val="left"/>
              <w:rPr>
                <w:rFonts w:hint="eastAsia" w:ascii="宋体" w:hAnsi="宋体" w:eastAsia="宋体" w:cs="宋体"/>
              </w:rPr>
            </w:pPr>
            <w:r>
              <w:rPr>
                <w:rFonts w:hint="eastAsia" w:ascii="宋体" w:hAnsi="宋体" w:eastAsia="宋体" w:cs="宋体"/>
              </w:rPr>
              <w:t>技术框架：系统采用B/S技术架构，前后端分离技术。采用Spring Boot作为核心框架，服务层采用Spring MVC，构建Web服务的核心框架；采用SpringSecurity，提供安全认证和授权功能。</w:t>
            </w:r>
          </w:p>
          <w:p w14:paraId="7EA74397">
            <w:pPr>
              <w:numPr>
                <w:ilvl w:val="0"/>
                <w:numId w:val="4"/>
              </w:numPr>
              <w:jc w:val="left"/>
              <w:rPr>
                <w:rFonts w:hint="eastAsia" w:ascii="宋体" w:hAnsi="宋体" w:eastAsia="宋体" w:cs="宋体"/>
              </w:rPr>
            </w:pPr>
            <w:r>
              <w:rPr>
                <w:rFonts w:hint="eastAsia" w:ascii="宋体" w:hAnsi="宋体" w:eastAsia="宋体" w:cs="宋体"/>
              </w:rPr>
              <w:t>技术要求：系统支持与院内各个业务系统做数据集成,支持原始数据视图接口、集成平台接口、数据中心接口对接,提供数据采集数据源配置，支持Oracle、SqlServer、MySql、DB2、Postgresql等数据库进行同步数据。系统采用B/S技术架构保证系统使用的稳定性和兼容性，支持chrome浏览器和各主流浏览器，系统记录行为日志、数据日志确保数据和系统稳定性。</w:t>
            </w:r>
          </w:p>
          <w:p w14:paraId="5951EE14">
            <w:pPr>
              <w:numPr>
                <w:ilvl w:val="0"/>
                <w:numId w:val="4"/>
              </w:numPr>
              <w:jc w:val="left"/>
              <w:rPr>
                <w:rFonts w:hint="eastAsia" w:ascii="宋体" w:hAnsi="宋体" w:eastAsia="宋体" w:cs="宋体"/>
              </w:rPr>
            </w:pPr>
            <w:r>
              <w:rPr>
                <w:rFonts w:hint="eastAsia" w:ascii="宋体" w:hAnsi="宋体" w:eastAsia="宋体" w:cs="宋体"/>
              </w:rPr>
              <w:t>信创要求：支持国产数据库兼容</w:t>
            </w:r>
            <w:r>
              <w:rPr>
                <w:rFonts w:hint="eastAsia" w:ascii="宋体" w:hAnsi="宋体" w:eastAsia="宋体" w:cs="宋体"/>
                <w:lang w:val="en-US" w:eastAsia="zh-CN"/>
              </w:rPr>
              <w:t>包括但不限于</w:t>
            </w:r>
            <w:r>
              <w:rPr>
                <w:rFonts w:hint="eastAsia" w:ascii="宋体" w:hAnsi="宋体" w:eastAsia="宋体" w:cs="宋体"/>
              </w:rPr>
              <w:t>达梦数据、Postgresql等；支持国产操作系统兼容</w:t>
            </w:r>
            <w:r>
              <w:rPr>
                <w:rFonts w:hint="eastAsia" w:ascii="宋体" w:hAnsi="宋体" w:eastAsia="宋体" w:cs="宋体"/>
                <w:lang w:val="en-US" w:eastAsia="zh-CN"/>
              </w:rPr>
              <w:t>包括但不限于</w:t>
            </w:r>
            <w:r>
              <w:rPr>
                <w:rFonts w:hint="eastAsia" w:ascii="宋体" w:hAnsi="宋体" w:eastAsia="宋体" w:cs="宋体"/>
              </w:rPr>
              <w:t>银河麒麟V10、openEuler 24.x,25.xCentOS 7.x,8.x,CentOS Stream 8,9</w:t>
            </w:r>
          </w:p>
        </w:tc>
      </w:tr>
      <w:tr w14:paraId="3BBBE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1306" w:type="dxa"/>
            <w:vAlign w:val="center"/>
          </w:tcPr>
          <w:p w14:paraId="1ECFBDEF">
            <w:pPr>
              <w:rPr>
                <w:rFonts w:hint="eastAsia" w:ascii="宋体" w:hAnsi="宋体" w:eastAsia="宋体" w:cs="宋体"/>
                <w:b/>
                <w:szCs w:val="21"/>
              </w:rPr>
            </w:pPr>
            <w:r>
              <w:rPr>
                <w:rFonts w:hint="eastAsia" w:ascii="宋体" w:hAnsi="宋体" w:eastAsia="宋体" w:cs="宋体"/>
              </w:rPr>
              <w:t>住院系统首页</w:t>
            </w:r>
          </w:p>
        </w:tc>
        <w:tc>
          <w:tcPr>
            <w:tcW w:w="7061" w:type="dxa"/>
            <w:vAlign w:val="center"/>
          </w:tcPr>
          <w:p w14:paraId="008B7B48">
            <w:pPr>
              <w:pStyle w:val="41"/>
              <w:ind w:left="0" w:firstLine="0"/>
              <w:rPr>
                <w:rFonts w:hint="eastAsia" w:ascii="宋体" w:hAnsi="宋体" w:eastAsia="宋体" w:cs="宋体"/>
              </w:rPr>
            </w:pPr>
            <w:r>
              <w:rPr>
                <w:rFonts w:hint="eastAsia" w:ascii="宋体" w:hAnsi="宋体" w:eastAsia="宋体" w:cs="宋体"/>
              </w:rPr>
              <w:t>支持不同角色显示不同系统首页内容。支持按编码员/统计员进行首页切换</w:t>
            </w:r>
          </w:p>
          <w:p w14:paraId="13CDD704">
            <w:pPr>
              <w:numPr>
                <w:ilvl w:val="0"/>
                <w:numId w:val="5"/>
              </w:numPr>
              <w:jc w:val="left"/>
              <w:rPr>
                <w:rFonts w:hint="eastAsia" w:ascii="宋体" w:hAnsi="宋体" w:eastAsia="宋体" w:cs="宋体"/>
              </w:rPr>
            </w:pPr>
            <w:r>
              <w:rPr>
                <w:rFonts w:hint="eastAsia" w:ascii="宋体" w:hAnsi="宋体" w:eastAsia="宋体" w:cs="宋体"/>
              </w:rPr>
              <w:t>统计员首页：</w:t>
            </w:r>
          </w:p>
          <w:p w14:paraId="1B19EEB5">
            <w:pPr>
              <w:numPr>
                <w:ilvl w:val="0"/>
                <w:numId w:val="6"/>
              </w:numPr>
              <w:rPr>
                <w:rFonts w:hint="eastAsia" w:ascii="宋体" w:hAnsi="宋体" w:eastAsia="宋体" w:cs="宋体"/>
              </w:rPr>
            </w:pPr>
            <w:r>
              <w:rPr>
                <w:rFonts w:hint="eastAsia" w:ascii="宋体" w:hAnsi="宋体" w:eastAsia="宋体" w:cs="宋体"/>
              </w:rPr>
              <w:t>系统为用户提供报表管理、数据上报等快捷方式入口。用户点击相应快捷方式，即可迅速跳转至对应的具体页面。系统还支持用户根据业务需求，对快捷方式进行个性化自定义设置。</w:t>
            </w:r>
          </w:p>
          <w:p w14:paraId="46DA723A">
            <w:pPr>
              <w:numPr>
                <w:ilvl w:val="0"/>
                <w:numId w:val="6"/>
              </w:numPr>
              <w:rPr>
                <w:rFonts w:hint="eastAsia" w:ascii="宋体" w:hAnsi="宋体" w:eastAsia="宋体" w:cs="宋体"/>
              </w:rPr>
            </w:pPr>
            <w:r>
              <w:rPr>
                <w:rFonts w:hint="eastAsia" w:ascii="宋体" w:hAnsi="宋体" w:eastAsia="宋体" w:cs="宋体"/>
              </w:rPr>
              <w:t>系统首页支持通过多种检索方式对核心指标查询，检索维度涵盖按科室分类、按出院时间筛选等。</w:t>
            </w:r>
          </w:p>
          <w:p w14:paraId="671663B9">
            <w:pPr>
              <w:numPr>
                <w:ilvl w:val="0"/>
                <w:numId w:val="6"/>
              </w:numPr>
              <w:rPr>
                <w:rFonts w:hint="eastAsia" w:ascii="宋体" w:hAnsi="宋体" w:eastAsia="宋体" w:cs="宋体"/>
              </w:rPr>
            </w:pPr>
            <w:r>
              <w:rPr>
                <w:rFonts w:hint="eastAsia" w:ascii="宋体" w:hAnsi="宋体" w:eastAsia="宋体" w:cs="宋体"/>
              </w:rPr>
              <w:t>系统首页支持展示工作概况：包含出院患者人数及同/环比、死亡患者人数及同/环比、医嘱离院数及同/环比、非医嘱离院数及同/环比、DRG入组数及同/环比、CMI值及同/环比。</w:t>
            </w:r>
          </w:p>
          <w:p w14:paraId="68AF7640">
            <w:pPr>
              <w:numPr>
                <w:ilvl w:val="0"/>
                <w:numId w:val="6"/>
              </w:numPr>
              <w:jc w:val="left"/>
              <w:rPr>
                <w:rFonts w:hint="eastAsia" w:ascii="宋体" w:hAnsi="宋体" w:eastAsia="宋体" w:cs="宋体"/>
              </w:rPr>
            </w:pPr>
            <w:r>
              <w:rPr>
                <w:rFonts w:hint="eastAsia" w:ascii="宋体" w:hAnsi="宋体" w:eastAsia="宋体" w:cs="宋体"/>
              </w:rPr>
              <w:t>系统首页支持展示病案核心指标：指标包含Ⅰ类切口手术部位感染人数/感染率及同/环比分析、手术</w:t>
            </w:r>
            <w:r>
              <w:rPr>
                <w:rFonts w:hint="eastAsia" w:ascii="宋体" w:hAnsi="宋体" w:eastAsia="宋体" w:cs="宋体"/>
                <w:szCs w:val="21"/>
              </w:rPr>
              <w:t>人次数（含占比）及同/环比分析、四级手术人数（含占比）及同/环比分析、术后手术患者并发症人数（含占比）及同/环比分析、微创手术人数（含占比）及同/环比分析、低风险死亡人数（含占比）及同/环比等。</w:t>
            </w:r>
          </w:p>
          <w:p w14:paraId="11023050">
            <w:pPr>
              <w:numPr>
                <w:ilvl w:val="0"/>
                <w:numId w:val="6"/>
              </w:numPr>
              <w:jc w:val="left"/>
              <w:rPr>
                <w:rFonts w:hint="eastAsia" w:ascii="宋体" w:hAnsi="宋体" w:eastAsia="宋体" w:cs="宋体"/>
                <w:szCs w:val="21"/>
              </w:rPr>
            </w:pPr>
            <w:r>
              <w:rPr>
                <w:rFonts w:hint="eastAsia" w:ascii="宋体" w:hAnsi="宋体" w:eastAsia="宋体" w:cs="宋体"/>
                <w:szCs w:val="21"/>
              </w:rPr>
              <w:t>首页支持通过趋势图，对出院患者人数、手术人次数、四级手术人次数以及医嘱离院人数等数据展开趋势分析。</w:t>
            </w:r>
          </w:p>
          <w:p w14:paraId="5DDEE817">
            <w:pPr>
              <w:numPr>
                <w:ilvl w:val="0"/>
                <w:numId w:val="6"/>
              </w:numPr>
              <w:jc w:val="left"/>
              <w:rPr>
                <w:rFonts w:hint="eastAsia" w:ascii="宋体" w:hAnsi="宋体" w:eastAsia="宋体" w:cs="宋体"/>
                <w:szCs w:val="21"/>
              </w:rPr>
            </w:pPr>
            <w:r>
              <w:rPr>
                <w:rFonts w:hint="eastAsia" w:ascii="宋体" w:hAnsi="宋体" w:eastAsia="宋体" w:cs="宋体"/>
                <w:szCs w:val="21"/>
              </w:rPr>
              <w:t>系统首页展示住院患者疾病排名TOP10，列表包含疾病病种、患者数和占比。同时展示住院患者手术排名TOP10，列表包含手术名称、患者数和占比。</w:t>
            </w:r>
          </w:p>
          <w:p w14:paraId="31A563CC">
            <w:pPr>
              <w:numPr>
                <w:ilvl w:val="0"/>
                <w:numId w:val="6"/>
              </w:numPr>
              <w:jc w:val="left"/>
              <w:rPr>
                <w:rFonts w:hint="eastAsia" w:ascii="宋体" w:hAnsi="宋体" w:eastAsia="宋体" w:cs="宋体"/>
                <w:szCs w:val="21"/>
              </w:rPr>
            </w:pPr>
            <w:r>
              <w:rPr>
                <w:rFonts w:hint="eastAsia" w:ascii="宋体" w:hAnsi="宋体" w:eastAsia="宋体" w:cs="宋体"/>
                <w:szCs w:val="21"/>
              </w:rPr>
              <w:t>系统提供公告和消息通知提醒功能，支持用户下载系统公告里的附件。</w:t>
            </w:r>
          </w:p>
          <w:p w14:paraId="6EDD6386">
            <w:pPr>
              <w:numPr>
                <w:ilvl w:val="0"/>
                <w:numId w:val="5"/>
              </w:numPr>
              <w:jc w:val="left"/>
              <w:rPr>
                <w:rFonts w:hint="eastAsia" w:ascii="宋体" w:hAnsi="宋体" w:eastAsia="宋体" w:cs="宋体"/>
              </w:rPr>
            </w:pPr>
            <w:r>
              <w:rPr>
                <w:rFonts w:hint="eastAsia" w:ascii="宋体" w:hAnsi="宋体" w:eastAsia="宋体" w:cs="宋体"/>
              </w:rPr>
              <w:t>编码员首页：</w:t>
            </w:r>
          </w:p>
          <w:p w14:paraId="435A697F">
            <w:pPr>
              <w:numPr>
                <w:ilvl w:val="0"/>
                <w:numId w:val="7"/>
              </w:numPr>
              <w:rPr>
                <w:rFonts w:hint="eastAsia" w:ascii="宋体" w:hAnsi="宋体" w:eastAsia="宋体" w:cs="宋体"/>
              </w:rPr>
            </w:pPr>
            <w:r>
              <w:rPr>
                <w:rFonts w:hint="eastAsia" w:ascii="宋体" w:hAnsi="宋体" w:eastAsia="宋体" w:cs="宋体"/>
              </w:rPr>
              <w:t>编码工作概况速览：展示编码员今日编码病案数、本月编码病案总数、日均编码病案数，以及待编码病案数量。</w:t>
            </w:r>
          </w:p>
          <w:p w14:paraId="3CEE7DCD">
            <w:pPr>
              <w:numPr>
                <w:ilvl w:val="0"/>
                <w:numId w:val="7"/>
              </w:numPr>
              <w:rPr>
                <w:rFonts w:hint="eastAsia" w:ascii="宋体" w:hAnsi="宋体" w:eastAsia="宋体" w:cs="宋体"/>
              </w:rPr>
            </w:pPr>
            <w:r>
              <w:rPr>
                <w:rFonts w:hint="eastAsia" w:ascii="宋体" w:hAnsi="宋体" w:eastAsia="宋体" w:cs="宋体"/>
              </w:rPr>
              <w:t>编码进度：显示总体编码进度，已完成编码数量、未完成编码等。</w:t>
            </w:r>
          </w:p>
          <w:p w14:paraId="7094DEB5">
            <w:pPr>
              <w:numPr>
                <w:ilvl w:val="0"/>
                <w:numId w:val="7"/>
              </w:numPr>
              <w:rPr>
                <w:rFonts w:hint="eastAsia" w:ascii="宋体" w:hAnsi="宋体" w:eastAsia="宋体" w:cs="宋体"/>
              </w:rPr>
            </w:pPr>
            <w:r>
              <w:rPr>
                <w:rFonts w:hint="eastAsia" w:ascii="宋体" w:hAnsi="宋体" w:eastAsia="宋体" w:cs="宋体"/>
              </w:rPr>
              <w:t>系统首页提供待办患者数量信息，具体包括待编目、编码退回和批注待处理的患者数量。</w:t>
            </w:r>
          </w:p>
          <w:p w14:paraId="166BFB05">
            <w:pPr>
              <w:numPr>
                <w:ilvl w:val="0"/>
                <w:numId w:val="7"/>
              </w:numPr>
              <w:rPr>
                <w:rFonts w:hint="eastAsia" w:ascii="宋体" w:hAnsi="宋体" w:eastAsia="宋体" w:cs="宋体"/>
              </w:rPr>
            </w:pPr>
            <w:r>
              <w:rPr>
                <w:rFonts w:hint="eastAsia" w:ascii="宋体" w:hAnsi="宋体" w:eastAsia="宋体" w:cs="宋体"/>
              </w:rPr>
              <w:t>系统首页通过折线图清晰呈现编码员工作量的变化趋势；以饼图直观展示各科室非医嘱离院的占比情况。</w:t>
            </w:r>
          </w:p>
          <w:p w14:paraId="7E38E792">
            <w:pPr>
              <w:numPr>
                <w:ilvl w:val="0"/>
                <w:numId w:val="7"/>
              </w:numPr>
              <w:rPr>
                <w:rFonts w:hint="eastAsia" w:ascii="宋体" w:hAnsi="宋体" w:eastAsia="宋体" w:cs="宋体"/>
              </w:rPr>
            </w:pPr>
            <w:r>
              <w:rPr>
                <w:rFonts w:hint="eastAsia" w:ascii="宋体" w:hAnsi="宋体" w:eastAsia="宋体" w:cs="宋体"/>
              </w:rPr>
              <w:t>系统显示数据质控问题监测：包含质控科室错误数排名、错误问题类型排名等。</w:t>
            </w:r>
          </w:p>
        </w:tc>
      </w:tr>
      <w:tr w14:paraId="37014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Align w:val="center"/>
          </w:tcPr>
          <w:p w14:paraId="284CF8D2">
            <w:pPr>
              <w:rPr>
                <w:rFonts w:hint="eastAsia" w:ascii="宋体" w:hAnsi="宋体" w:eastAsia="宋体" w:cs="宋体"/>
              </w:rPr>
            </w:pPr>
            <w:r>
              <w:rPr>
                <w:rFonts w:hint="eastAsia" w:ascii="宋体" w:hAnsi="宋体" w:eastAsia="宋体" w:cs="宋体"/>
              </w:rPr>
              <w:t>住院示踪管理</w:t>
            </w:r>
          </w:p>
        </w:tc>
        <w:tc>
          <w:tcPr>
            <w:tcW w:w="7061" w:type="dxa"/>
            <w:vAlign w:val="center"/>
          </w:tcPr>
          <w:p w14:paraId="6BB79BBC">
            <w:pPr>
              <w:jc w:val="left"/>
              <w:rPr>
                <w:rFonts w:hint="eastAsia" w:ascii="宋体" w:hAnsi="宋体" w:eastAsia="宋体" w:cs="宋体"/>
              </w:rPr>
            </w:pPr>
            <w:r>
              <w:rPr>
                <w:rFonts w:hint="eastAsia" w:ascii="宋体" w:hAnsi="宋体" w:eastAsia="宋体" w:cs="宋体"/>
              </w:rPr>
              <w:t>签收管理：包含待回收、已回收和退回记录。</w:t>
            </w:r>
          </w:p>
          <w:p w14:paraId="490DB88F">
            <w:pPr>
              <w:numPr>
                <w:ilvl w:val="0"/>
                <w:numId w:val="8"/>
              </w:numPr>
              <w:rPr>
                <w:rFonts w:hint="eastAsia" w:ascii="宋体" w:hAnsi="宋体" w:eastAsia="宋体" w:cs="宋体"/>
              </w:rPr>
            </w:pPr>
            <w:r>
              <w:rPr>
                <w:rFonts w:hint="eastAsia" w:ascii="宋体" w:hAnsi="宋体" w:eastAsia="宋体" w:cs="宋体"/>
              </w:rPr>
              <w:t>待回收：纸质病案送到病案室后，支持两种签收方式，包含利用条码枪签收或手动输入住院号完成签收操作。</w:t>
            </w:r>
          </w:p>
          <w:p w14:paraId="4B0ADE64">
            <w:pPr>
              <w:numPr>
                <w:ilvl w:val="0"/>
                <w:numId w:val="8"/>
              </w:numPr>
              <w:rPr>
                <w:rFonts w:hint="eastAsia" w:ascii="宋体" w:hAnsi="宋体" w:eastAsia="宋体" w:cs="宋体"/>
              </w:rPr>
            </w:pPr>
            <w:r>
              <w:rPr>
                <w:rFonts w:hint="eastAsia" w:ascii="宋体" w:hAnsi="宋体" w:eastAsia="宋体" w:cs="宋体"/>
              </w:rPr>
              <w:t>已回收：列表显示所有已回收数据，系统提供退档操作，用户可选择退至相关医师，并填写退档原因。</w:t>
            </w:r>
          </w:p>
          <w:p w14:paraId="551CCA85">
            <w:pPr>
              <w:numPr>
                <w:ilvl w:val="0"/>
                <w:numId w:val="8"/>
              </w:numPr>
              <w:rPr>
                <w:rFonts w:hint="eastAsia" w:ascii="宋体" w:hAnsi="宋体" w:eastAsia="宋体" w:cs="宋体"/>
              </w:rPr>
            </w:pPr>
            <w:r>
              <w:rPr>
                <w:rFonts w:hint="eastAsia" w:ascii="宋体" w:hAnsi="宋体" w:eastAsia="宋体" w:cs="宋体"/>
              </w:rPr>
              <w:t>退回记录：用户能够在该模块中查看所有签收退回记录的数据。</w:t>
            </w:r>
          </w:p>
          <w:p w14:paraId="129560B7">
            <w:pPr>
              <w:numPr>
                <w:ilvl w:val="0"/>
                <w:numId w:val="8"/>
              </w:numPr>
              <w:rPr>
                <w:rFonts w:hint="eastAsia" w:ascii="宋体" w:hAnsi="宋体" w:eastAsia="宋体" w:cs="宋体"/>
              </w:rPr>
            </w:pPr>
            <w:r>
              <w:rPr>
                <w:rFonts w:hint="eastAsia" w:ascii="宋体" w:hAnsi="宋体" w:eastAsia="宋体" w:cs="宋体"/>
              </w:rPr>
              <w:t>回收单打印：回收成功后，用户可直接打印此批次患者的病案回收单。</w:t>
            </w:r>
          </w:p>
        </w:tc>
      </w:tr>
      <w:tr w14:paraId="5E343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Align w:val="center"/>
          </w:tcPr>
          <w:p w14:paraId="7C1D5F16">
            <w:pPr>
              <w:rPr>
                <w:rFonts w:hint="eastAsia" w:ascii="宋体" w:hAnsi="宋体" w:eastAsia="宋体" w:cs="宋体"/>
              </w:rPr>
            </w:pPr>
            <w:r>
              <w:rPr>
                <w:rFonts w:hint="eastAsia" w:ascii="宋体" w:hAnsi="宋体" w:eastAsia="宋体" w:cs="宋体"/>
              </w:rPr>
              <w:t>住院病案上架</w:t>
            </w:r>
          </w:p>
        </w:tc>
        <w:tc>
          <w:tcPr>
            <w:tcW w:w="7061" w:type="dxa"/>
            <w:vAlign w:val="center"/>
          </w:tcPr>
          <w:p w14:paraId="02C01906">
            <w:pPr>
              <w:rPr>
                <w:rFonts w:hint="eastAsia" w:ascii="宋体" w:hAnsi="宋体" w:eastAsia="宋体" w:cs="宋体"/>
              </w:rPr>
            </w:pPr>
            <w:r>
              <w:rPr>
                <w:rFonts w:hint="eastAsia" w:ascii="宋体" w:hAnsi="宋体" w:eastAsia="宋体" w:cs="宋体"/>
              </w:rPr>
              <w:t>病案上架：</w:t>
            </w:r>
          </w:p>
          <w:p w14:paraId="550A9F5D">
            <w:pPr>
              <w:numPr>
                <w:ilvl w:val="0"/>
                <w:numId w:val="9"/>
              </w:numPr>
              <w:rPr>
                <w:rFonts w:hint="eastAsia" w:ascii="宋体" w:hAnsi="宋体" w:eastAsia="宋体" w:cs="宋体"/>
              </w:rPr>
            </w:pPr>
            <w:r>
              <w:rPr>
                <w:rFonts w:hint="eastAsia" w:ascii="宋体" w:hAnsi="宋体" w:eastAsia="宋体" w:cs="宋体"/>
              </w:rPr>
              <w:t>系统支持对病案的归档登记。支持记录归档箱号（该箱号须具备唯一性，以方便后续精准查找）、存放库房、存放库位等。支持条码枪和手动上架等两种方式。支持对上架号进行自定义维护。</w:t>
            </w:r>
          </w:p>
          <w:p w14:paraId="0E9168CB">
            <w:pPr>
              <w:numPr>
                <w:ilvl w:val="0"/>
                <w:numId w:val="9"/>
              </w:numPr>
              <w:rPr>
                <w:rFonts w:hint="eastAsia" w:ascii="宋体" w:hAnsi="宋体" w:eastAsia="宋体" w:cs="宋体"/>
              </w:rPr>
            </w:pPr>
            <w:r>
              <w:rPr>
                <w:rFonts w:hint="eastAsia" w:ascii="宋体" w:hAnsi="宋体" w:eastAsia="宋体" w:cs="宋体"/>
              </w:rPr>
              <w:t>上架查询：支持多维度查询，用户可依据出院日期、上架日期、病案号、姓名、用户、库位及上架状态进行查询。查询结果将以列表形式呈现，涵盖上架状态、病案号、住院次数、姓名、出院日期、出院科室、上架日期、库房、库位、架号、箱号、操作用户等，为用户提供全面、准确的病案上架信息。</w:t>
            </w:r>
          </w:p>
        </w:tc>
      </w:tr>
      <w:tr w14:paraId="1118E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Align w:val="center"/>
          </w:tcPr>
          <w:p w14:paraId="0043DF0E">
            <w:pPr>
              <w:rPr>
                <w:rFonts w:hint="eastAsia" w:ascii="宋体" w:hAnsi="宋体" w:eastAsia="宋体" w:cs="宋体"/>
              </w:rPr>
            </w:pPr>
            <w:r>
              <w:rPr>
                <w:rFonts w:hint="eastAsia" w:ascii="宋体" w:hAnsi="宋体" w:eastAsia="宋体" w:cs="宋体"/>
              </w:rPr>
              <w:t>住院纸质病案借阅</w:t>
            </w:r>
          </w:p>
        </w:tc>
        <w:tc>
          <w:tcPr>
            <w:tcW w:w="7061" w:type="dxa"/>
            <w:vAlign w:val="center"/>
          </w:tcPr>
          <w:p w14:paraId="7E0CBEF0">
            <w:pPr>
              <w:numPr>
                <w:ilvl w:val="0"/>
                <w:numId w:val="10"/>
              </w:numPr>
              <w:rPr>
                <w:rFonts w:hint="eastAsia" w:ascii="宋体" w:hAnsi="宋体" w:eastAsia="宋体" w:cs="宋体"/>
              </w:rPr>
            </w:pPr>
            <w:r>
              <w:rPr>
                <w:rFonts w:hint="eastAsia" w:ascii="宋体" w:hAnsi="宋体" w:eastAsia="宋体" w:cs="宋体"/>
              </w:rPr>
              <w:t>病案借阅：列表显示所有在库状态的数据，系统提供借阅信息登记功能。包含借阅人、借阅日期、借阅天数、借阅事由、借阅电话、部门负责人、审批人、经办人、备注等内容。支持条码枪和手动登记等两种借阅方式。</w:t>
            </w:r>
          </w:p>
          <w:p w14:paraId="7A2C5234">
            <w:pPr>
              <w:numPr>
                <w:ilvl w:val="0"/>
                <w:numId w:val="10"/>
              </w:numPr>
              <w:rPr>
                <w:rFonts w:hint="eastAsia" w:ascii="宋体" w:hAnsi="宋体" w:eastAsia="宋体" w:cs="宋体"/>
              </w:rPr>
            </w:pPr>
            <w:r>
              <w:rPr>
                <w:rFonts w:hint="eastAsia" w:ascii="宋体" w:hAnsi="宋体" w:eastAsia="宋体" w:cs="宋体"/>
              </w:rPr>
              <w:t>借阅查询：支持多维度查询，用户可依据借阅号、病案号、借阅人、借阅状态（含在借、已还）、借阅时间、借阅事由、借阅部门、归还时间、归还人、归还时间等、归还状态进行灵活查询。</w:t>
            </w:r>
          </w:p>
          <w:p w14:paraId="75A2A885">
            <w:pPr>
              <w:numPr>
                <w:ilvl w:val="0"/>
                <w:numId w:val="10"/>
              </w:numPr>
              <w:rPr>
                <w:rFonts w:hint="eastAsia" w:ascii="宋体" w:hAnsi="宋体" w:eastAsia="宋体" w:cs="宋体"/>
              </w:rPr>
            </w:pPr>
            <w:r>
              <w:rPr>
                <w:rFonts w:hint="eastAsia" w:ascii="宋体" w:hAnsi="宋体" w:eastAsia="宋体" w:cs="宋体"/>
              </w:rPr>
              <w:t>借阅归还：支持对在借状态的数据进行归还操作。系统提供多维度查询包含借阅号、病案号、姓名、出院科室、出院时间、借阅人、借阅日期、借阅天数、借阅事由、经办人、归还时间、归还人、归还状态等。</w:t>
            </w:r>
          </w:p>
        </w:tc>
      </w:tr>
      <w:tr w14:paraId="5CCA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6" w:type="dxa"/>
            <w:vAlign w:val="center"/>
          </w:tcPr>
          <w:p w14:paraId="399F1C02">
            <w:pPr>
              <w:rPr>
                <w:rFonts w:hint="eastAsia" w:ascii="宋体" w:hAnsi="宋体" w:eastAsia="宋体" w:cs="宋体"/>
              </w:rPr>
            </w:pPr>
            <w:r>
              <w:rPr>
                <w:rFonts w:hint="eastAsia" w:ascii="宋体" w:hAnsi="宋体" w:eastAsia="宋体" w:cs="宋体"/>
              </w:rPr>
              <w:t>住院编目管理</w:t>
            </w:r>
          </w:p>
        </w:tc>
        <w:tc>
          <w:tcPr>
            <w:tcW w:w="7061" w:type="dxa"/>
            <w:vAlign w:val="center"/>
          </w:tcPr>
          <w:p w14:paraId="0F31C79A">
            <w:pPr>
              <w:numPr>
                <w:ilvl w:val="0"/>
                <w:numId w:val="11"/>
              </w:numPr>
              <w:rPr>
                <w:rFonts w:hint="eastAsia" w:ascii="宋体" w:hAnsi="宋体" w:eastAsia="宋体" w:cs="宋体"/>
              </w:rPr>
            </w:pPr>
            <w:r>
              <w:rPr>
                <w:rFonts w:hint="eastAsia" w:ascii="宋体" w:hAnsi="宋体" w:eastAsia="宋体" w:cs="宋体"/>
              </w:rPr>
              <w:t>系统配备便捷高效的病案首页录入界面,首页内容包括患者基本信息、出院诊断、手术信息、费用信息、其他信息等。</w:t>
            </w:r>
          </w:p>
          <w:p w14:paraId="60B13A65">
            <w:pPr>
              <w:numPr>
                <w:ilvl w:val="0"/>
                <w:numId w:val="12"/>
              </w:numPr>
              <w:rPr>
                <w:rFonts w:hint="eastAsia" w:ascii="宋体" w:hAnsi="宋体" w:eastAsia="宋体" w:cs="宋体"/>
              </w:rPr>
            </w:pPr>
            <w:r>
              <w:rPr>
                <w:rFonts w:hint="eastAsia" w:ascii="宋体" w:hAnsi="宋体" w:eastAsia="宋体" w:cs="宋体"/>
              </w:rPr>
              <w:t>系统提供多种快捷键录入方式</w:t>
            </w:r>
            <w:r>
              <w:rPr>
                <w:rFonts w:hint="eastAsia" w:ascii="宋体" w:hAnsi="宋体" w:eastAsia="宋体" w:cs="宋体"/>
                <w:color w:val="0D0D0D"/>
                <w:sz w:val="24"/>
                <w:shd w:val="clear" w:color="auto" w:fill="FFFFFF"/>
              </w:rPr>
              <w:t>。</w:t>
            </w:r>
            <w:r>
              <w:rPr>
                <w:rFonts w:hint="eastAsia" w:ascii="宋体" w:hAnsi="宋体" w:eastAsia="宋体" w:cs="宋体"/>
              </w:rPr>
              <w:t>包含Enter键、Ctrl+↑/↓/→/→键等</w:t>
            </w:r>
          </w:p>
          <w:p w14:paraId="5D33FFAF">
            <w:pPr>
              <w:numPr>
                <w:ilvl w:val="0"/>
                <w:numId w:val="12"/>
              </w:numPr>
              <w:rPr>
                <w:rFonts w:hint="eastAsia" w:ascii="宋体" w:hAnsi="宋体" w:eastAsia="宋体" w:cs="宋体"/>
              </w:rPr>
            </w:pPr>
            <w:r>
              <w:rPr>
                <w:rFonts w:hint="eastAsia" w:ascii="宋体" w:hAnsi="宋体" w:eastAsia="宋体" w:cs="宋体"/>
              </w:rPr>
              <w:t>提供导航定位功能：点击页面自动定位到具体的首页字段处。</w:t>
            </w:r>
          </w:p>
          <w:p w14:paraId="793901C7">
            <w:pPr>
              <w:numPr>
                <w:ilvl w:val="0"/>
                <w:numId w:val="12"/>
              </w:numPr>
              <w:rPr>
                <w:rFonts w:hint="eastAsia" w:ascii="宋体" w:hAnsi="宋体" w:eastAsia="宋体" w:cs="宋体"/>
              </w:rPr>
            </w:pPr>
            <w:r>
              <w:rPr>
                <w:rFonts w:hint="eastAsia" w:ascii="宋体" w:hAnsi="宋体" w:eastAsia="宋体" w:cs="宋体"/>
              </w:rPr>
              <w:t>支持多条录入：包含转科信息、门急诊诊断、入院诊断、出院诊断、病理诊断、损伤中毒、手术信息等。支持多种检索方式查找疾病/手术名称，包含模糊检索、拼音首字母检索、关键字检索等。</w:t>
            </w:r>
          </w:p>
          <w:p w14:paraId="2FE42A36">
            <w:pPr>
              <w:numPr>
                <w:ilvl w:val="0"/>
                <w:numId w:val="12"/>
              </w:numPr>
              <w:rPr>
                <w:rFonts w:hint="eastAsia" w:ascii="宋体" w:hAnsi="宋体" w:eastAsia="宋体" w:cs="宋体"/>
              </w:rPr>
            </w:pPr>
            <w:r>
              <w:rPr>
                <w:rFonts w:hint="eastAsia" w:ascii="宋体" w:hAnsi="宋体" w:eastAsia="宋体" w:cs="宋体"/>
              </w:rPr>
              <w:t>拖拽调序：诊断和手术列表可通过拖拽方式进行调序。</w:t>
            </w:r>
          </w:p>
          <w:p w14:paraId="45735FCD">
            <w:pPr>
              <w:numPr>
                <w:ilvl w:val="0"/>
                <w:numId w:val="0"/>
              </w:numPr>
              <w:ind w:leftChars="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rPr>
              <w:t>支持按照内置的编码映射关系，实现国临编码与医保编码的自动映射，此外还支持勾选医保上报、医保序号功能。</w:t>
            </w:r>
          </w:p>
          <w:p w14:paraId="612D781D">
            <w:pPr>
              <w:numPr>
                <w:ilvl w:val="0"/>
                <w:numId w:val="11"/>
              </w:numPr>
              <w:rPr>
                <w:rFonts w:hint="eastAsia" w:ascii="宋体" w:hAnsi="宋体" w:eastAsia="宋体" w:cs="宋体"/>
              </w:rPr>
            </w:pPr>
            <w:r>
              <w:rPr>
                <w:rFonts w:hint="eastAsia" w:ascii="宋体" w:hAnsi="宋体" w:eastAsia="宋体" w:cs="宋体"/>
              </w:rPr>
              <w:t>首页打印：系统依托预置的标准化打印模板，可实现对当前患者首页信息进行打印操作。系统还支持用户对打印模板进行个性化自定义设置。</w:t>
            </w:r>
          </w:p>
          <w:p w14:paraId="2B218B27">
            <w:pPr>
              <w:numPr>
                <w:ilvl w:val="0"/>
                <w:numId w:val="0"/>
              </w:numPr>
              <w:ind w:leftChars="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1"/>
                <w:szCs w:val="21"/>
                <w:lang w:val="en-US" w:eastAsia="zh-CN"/>
              </w:rPr>
              <w:t>3.</w:t>
            </w:r>
            <w:r>
              <w:rPr>
                <w:rFonts w:hint="eastAsia" w:ascii="宋体" w:hAnsi="宋体" w:eastAsia="宋体" w:cs="宋体"/>
                <w:color w:val="000000" w:themeColor="text1"/>
                <w14:textFill>
                  <w14:solidFill>
                    <w14:schemeClr w14:val="tx1"/>
                  </w14:solidFill>
                </w14:textFill>
              </w:rPr>
              <w:t>数据对照：直观对比患者病案首页临床端、病案端两套数据，对于差异内容支持高亮显示。</w:t>
            </w:r>
          </w:p>
          <w:p w14:paraId="615C6959">
            <w:pPr>
              <w:numPr>
                <w:ilvl w:val="0"/>
                <w:numId w:val="0"/>
              </w:numPr>
              <w:ind w:leftChars="0"/>
              <w:rPr>
                <w:rFonts w:hint="eastAsia" w:ascii="宋体" w:hAnsi="宋体" w:eastAsia="宋体" w:cs="宋体"/>
              </w:rPr>
            </w:pP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病案日志：</w:t>
            </w:r>
            <w:r>
              <w:rPr>
                <w:rFonts w:hint="eastAsia" w:ascii="宋体" w:hAnsi="宋体" w:eastAsia="宋体" w:cs="宋体"/>
              </w:rPr>
              <w:t>系统具备记录重点节点的功能，能够对病案处理过程中的关键环节进行记载并以时间轴倒序方式进行呈现。节点包含暂存、提交、签收等。</w:t>
            </w:r>
          </w:p>
          <w:p w14:paraId="25024761">
            <w:pPr>
              <w:numPr>
                <w:ilvl w:val="0"/>
                <w:numId w:val="0"/>
              </w:numPr>
              <w:ind w:leftChars="0"/>
              <w:rPr>
                <w:rFonts w:hint="eastAsia" w:ascii="宋体" w:hAnsi="宋体" w:eastAsia="宋体" w:cs="宋体"/>
              </w:rPr>
            </w:pP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病案归档：系统支持对已完成的数据进行归档操作。系统提供自动归档和手动归档两种归档方式。</w:t>
            </w:r>
          </w:p>
          <w:p w14:paraId="720C0FC0">
            <w:pPr>
              <w:numPr>
                <w:ilvl w:val="0"/>
                <w:numId w:val="0"/>
              </w:numPr>
              <w:ind w:leftChars="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1"/>
                <w:szCs w:val="21"/>
                <w:lang w:val="en-US" w:eastAsia="zh-CN"/>
              </w:rPr>
              <w:t>6.</w:t>
            </w:r>
            <w:r>
              <w:rPr>
                <w:rFonts w:hint="eastAsia" w:ascii="宋体" w:hAnsi="宋体" w:eastAsia="宋体" w:cs="宋体"/>
              </w:rPr>
              <w:t>首页质控：系统内置规则库，实现对病案首页数据质量进行质控。并提供错误字段定位功能，点击质控缺陷，能够自动定位到病案首页具体错误字段处。</w:t>
            </w:r>
          </w:p>
          <w:p w14:paraId="511E5DF6">
            <w:pPr>
              <w:numPr>
                <w:ilvl w:val="0"/>
                <w:numId w:val="0"/>
              </w:numPr>
              <w:ind w:leftChars="0"/>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系统具备与第三方业务系统进行接口对接的能力，可实现将反馈消息推送至临床医师。反馈消息内容涵盖错误类型、反馈对象、错误描述等关键信息。</w:t>
            </w:r>
          </w:p>
        </w:tc>
      </w:tr>
      <w:tr w14:paraId="7BD2C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28" w:hRule="atLeast"/>
          <w:jc w:val="center"/>
        </w:trPr>
        <w:tc>
          <w:tcPr>
            <w:tcW w:w="1306" w:type="dxa"/>
            <w:vAlign w:val="center"/>
          </w:tcPr>
          <w:p w14:paraId="56AA64A7">
            <w:pPr>
              <w:rPr>
                <w:rFonts w:hint="eastAsia" w:ascii="宋体" w:hAnsi="宋体" w:eastAsia="宋体" w:cs="宋体"/>
              </w:rPr>
            </w:pPr>
            <w:r>
              <w:rPr>
                <w:rFonts w:hint="eastAsia" w:ascii="宋体" w:hAnsi="宋体" w:eastAsia="宋体" w:cs="宋体"/>
              </w:rPr>
              <w:t>住院编码质控能力</w:t>
            </w:r>
          </w:p>
        </w:tc>
        <w:tc>
          <w:tcPr>
            <w:tcW w:w="7061" w:type="dxa"/>
            <w:vAlign w:val="center"/>
          </w:tcPr>
          <w:p w14:paraId="00417F5A">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病案端质控：基于《病案信息学》《疾病和有关健康问题的国际统计分类》《国际疾病分类 ICD-9-CM-3》等权威参考文献及权威专家总结，实现对无效主诊断、合并编码分离、残余类目使用等问题进行智能纠错校验，辅助编码员正确填写编码以保证合理入组。质控规则包括但不局限于：</w:t>
            </w:r>
          </w:p>
          <w:p w14:paraId="7BBAC9CB">
            <w:pPr>
              <w:numPr>
                <w:ilvl w:val="0"/>
                <w:numId w:val="13"/>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新生儿逻辑质控：判断与新生儿相关的数据项的合理性。</w:t>
            </w:r>
          </w:p>
          <w:p w14:paraId="074D2353">
            <w:pPr>
              <w:numPr>
                <w:ilvl w:val="0"/>
                <w:numId w:val="13"/>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产科逻辑质控：产科优先编码。</w:t>
            </w:r>
          </w:p>
          <w:p w14:paraId="3C94F5C6">
            <w:pPr>
              <w:numPr>
                <w:ilvl w:val="0"/>
                <w:numId w:val="13"/>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诊断逻辑质控：无效主诊断、主诊断选择错误、合并编码分离、疾病逻辑冲突、疾病手术对应错误或缺失、附加编码漏填、编码更特异/残余类目、疾病不包括、编码错误或缺失、肿瘤与形态学编码错误等等。</w:t>
            </w:r>
          </w:p>
          <w:p w14:paraId="18840C88">
            <w:pPr>
              <w:numPr>
                <w:ilvl w:val="0"/>
                <w:numId w:val="13"/>
              </w:num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手术逻辑质控：判断手术操作编码合理性、完整性进行校验。包含以下校验规则：无效主手术规则、手术操作错误或缺失、手术疾病对应错误缺失、不包括规则、另编规则、分类轴心冲突等等。</w:t>
            </w:r>
          </w:p>
        </w:tc>
      </w:tr>
      <w:tr w14:paraId="05071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Align w:val="center"/>
          </w:tcPr>
          <w:p w14:paraId="030C2E2C">
            <w:pPr>
              <w:rPr>
                <w:rFonts w:hint="eastAsia" w:ascii="宋体" w:hAnsi="宋体" w:eastAsia="宋体" w:cs="宋体"/>
              </w:rPr>
            </w:pPr>
            <w:r>
              <w:rPr>
                <w:rFonts w:hint="eastAsia" w:ascii="宋体" w:hAnsi="宋体" w:eastAsia="宋体" w:cs="宋体"/>
              </w:rPr>
              <w:t>住院首页评分</w:t>
            </w:r>
          </w:p>
        </w:tc>
        <w:tc>
          <w:tcPr>
            <w:tcW w:w="7061" w:type="dxa"/>
            <w:vAlign w:val="center"/>
          </w:tcPr>
          <w:p w14:paraId="48417A07">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rPr>
              <w:t>首页评分：依据《住院病案首页评分标准》，实现对病案首页数据进行自动评分，页面显示具体得分分值与具体扣分明细。</w:t>
            </w:r>
          </w:p>
        </w:tc>
      </w:tr>
      <w:tr w14:paraId="77C9D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66" w:hRule="atLeast"/>
          <w:jc w:val="center"/>
        </w:trPr>
        <w:tc>
          <w:tcPr>
            <w:tcW w:w="1306" w:type="dxa"/>
            <w:vAlign w:val="center"/>
          </w:tcPr>
          <w:p w14:paraId="2B388A11">
            <w:pPr>
              <w:rPr>
                <w:rFonts w:hint="eastAsia" w:ascii="宋体" w:hAnsi="宋体" w:eastAsia="宋体" w:cs="宋体"/>
              </w:rPr>
            </w:pPr>
            <w:r>
              <w:rPr>
                <w:rFonts w:hint="eastAsia" w:ascii="宋体" w:hAnsi="宋体" w:eastAsia="宋体" w:cs="宋体"/>
              </w:rPr>
              <w:t>住院DRG预分组</w:t>
            </w:r>
          </w:p>
        </w:tc>
        <w:tc>
          <w:tcPr>
            <w:tcW w:w="7061" w:type="dxa"/>
            <w:vAlign w:val="center"/>
          </w:tcPr>
          <w:p w14:paraId="11E3D398">
            <w:pPr>
              <w:jc w:val="left"/>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rPr>
              <w:t>DRG预分组功能：支持与分组器做对接，显示病案首页数据预分组功能，包含入组名称、入组编号、诊断依据、手术依据、权重等。</w:t>
            </w:r>
          </w:p>
        </w:tc>
      </w:tr>
      <w:tr w14:paraId="59DA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1" w:hRule="atLeast"/>
          <w:jc w:val="center"/>
        </w:trPr>
        <w:tc>
          <w:tcPr>
            <w:tcW w:w="1306" w:type="dxa"/>
            <w:vAlign w:val="center"/>
          </w:tcPr>
          <w:p w14:paraId="18F4D959">
            <w:pPr>
              <w:jc w:val="left"/>
              <w:rPr>
                <w:rFonts w:hint="eastAsia" w:ascii="宋体" w:hAnsi="宋体" w:eastAsia="宋体" w:cs="宋体"/>
              </w:rPr>
            </w:pPr>
            <w:r>
              <w:rPr>
                <w:rFonts w:hint="eastAsia" w:ascii="宋体" w:hAnsi="宋体" w:eastAsia="宋体" w:cs="宋体"/>
              </w:rPr>
              <w:t>住院首页费用重导入</w:t>
            </w:r>
          </w:p>
        </w:tc>
        <w:tc>
          <w:tcPr>
            <w:tcW w:w="7061" w:type="dxa"/>
            <w:vAlign w:val="center"/>
          </w:tcPr>
          <w:p w14:paraId="5C97897A">
            <w:pPr>
              <w:jc w:val="left"/>
              <w:rPr>
                <w:rFonts w:hint="eastAsia" w:ascii="宋体" w:hAnsi="宋体" w:eastAsia="宋体" w:cs="宋体"/>
              </w:rPr>
            </w:pPr>
            <w:r>
              <w:rPr>
                <w:rFonts w:hint="eastAsia" w:ascii="宋体" w:hAnsi="宋体" w:eastAsia="宋体" w:cs="宋体"/>
              </w:rPr>
              <w:t>首页费用重导入功能：支持对病案首页中的费用信息进行重新导入操作。</w:t>
            </w:r>
          </w:p>
        </w:tc>
      </w:tr>
      <w:tr w14:paraId="2EB91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67" w:hRule="atLeast"/>
          <w:jc w:val="center"/>
        </w:trPr>
        <w:tc>
          <w:tcPr>
            <w:tcW w:w="1306" w:type="dxa"/>
            <w:vAlign w:val="center"/>
          </w:tcPr>
          <w:p w14:paraId="51FB8828">
            <w:pPr>
              <w:rPr>
                <w:rFonts w:hint="eastAsia" w:ascii="宋体" w:hAnsi="宋体" w:eastAsia="宋体" w:cs="宋体"/>
              </w:rPr>
            </w:pPr>
            <w:r>
              <w:rPr>
                <w:rFonts w:hint="eastAsia" w:ascii="宋体" w:hAnsi="宋体" w:eastAsia="宋体" w:cs="宋体"/>
              </w:rPr>
              <w:t>住院病案查询</w:t>
            </w:r>
          </w:p>
        </w:tc>
        <w:tc>
          <w:tcPr>
            <w:tcW w:w="7061" w:type="dxa"/>
            <w:vAlign w:val="center"/>
          </w:tcPr>
          <w:p w14:paraId="4DED94C1">
            <w:pPr>
              <w:numPr>
                <w:ilvl w:val="0"/>
                <w:numId w:val="14"/>
              </w:numPr>
              <w:rPr>
                <w:rFonts w:hint="eastAsia" w:ascii="宋体" w:hAnsi="宋体" w:eastAsia="宋体" w:cs="宋体"/>
              </w:rPr>
            </w:pPr>
            <w:r>
              <w:rPr>
                <w:rFonts w:hint="eastAsia" w:ascii="宋体" w:hAnsi="宋体" w:eastAsia="宋体" w:cs="宋体"/>
              </w:rPr>
              <w:t>系统提供多种检索方式，支持按出院日期、入院日期、病案号、入院科室/出院科室、患者姓名、诊断、手术、医师（含科主任、主任（副）医生、主治医师、主诊医师、住院医师、质控医师）、患者标记、重点病案（含死亡、输血、重症、呼吸机、三四级手术等）等进行检索。</w:t>
            </w:r>
          </w:p>
          <w:p w14:paraId="62EFB80B">
            <w:pPr>
              <w:numPr>
                <w:ilvl w:val="0"/>
                <w:numId w:val="14"/>
              </w:numPr>
              <w:rPr>
                <w:rFonts w:hint="eastAsia" w:ascii="宋体" w:hAnsi="宋体" w:eastAsia="宋体" w:cs="宋体"/>
              </w:rPr>
            </w:pPr>
            <w:r>
              <w:rPr>
                <w:rFonts w:hint="eastAsia" w:ascii="宋体" w:hAnsi="宋体" w:eastAsia="宋体" w:cs="宋体"/>
              </w:rPr>
              <w:t>列表字段包含病案号、患者姓名、数据节点、入院时间、入院科室、出院时间、出院科室、住院天数、总费用。支持列表数据的导出。</w:t>
            </w:r>
          </w:p>
        </w:tc>
      </w:tr>
      <w:tr w14:paraId="4F60C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6" w:type="dxa"/>
            <w:vAlign w:val="center"/>
          </w:tcPr>
          <w:p w14:paraId="450D9B7C">
            <w:pPr>
              <w:jc w:val="left"/>
              <w:rPr>
                <w:rFonts w:hint="eastAsia" w:ascii="宋体" w:hAnsi="宋体" w:eastAsia="宋体" w:cs="宋体"/>
              </w:rPr>
            </w:pPr>
            <w:r>
              <w:rPr>
                <w:rFonts w:hint="eastAsia" w:ascii="宋体" w:hAnsi="宋体" w:eastAsia="宋体" w:cs="宋体"/>
              </w:rPr>
              <w:t>住院复合检索</w:t>
            </w:r>
          </w:p>
        </w:tc>
        <w:tc>
          <w:tcPr>
            <w:tcW w:w="7061" w:type="dxa"/>
            <w:vAlign w:val="center"/>
          </w:tcPr>
          <w:p w14:paraId="7CC617C5">
            <w:pPr>
              <w:numPr>
                <w:ilvl w:val="0"/>
                <w:numId w:val="0"/>
              </w:numPr>
              <w:ind w:leftChars="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1"/>
                <w:szCs w:val="21"/>
                <w:lang w:val="en-US" w:eastAsia="zh-CN"/>
              </w:rPr>
              <w:t>1.</w:t>
            </w:r>
            <w:r>
              <w:rPr>
                <w:rFonts w:hint="eastAsia" w:ascii="宋体" w:hAnsi="宋体" w:eastAsia="宋体" w:cs="宋体"/>
              </w:rPr>
              <w:t>支持自定义组合不同的病案首页数据项作为查询条件进行查询，查询方式至少包括：等于/不等于、包含/不包含、大于、大于或等于、小于、小于或等于。</w:t>
            </w:r>
          </w:p>
          <w:p w14:paraId="16DA4383">
            <w:pPr>
              <w:numPr>
                <w:ilvl w:val="0"/>
                <w:numId w:val="0"/>
              </w:numPr>
              <w:ind w:leftChars="0"/>
              <w:rPr>
                <w:rFonts w:hint="eastAsia" w:ascii="宋体" w:hAnsi="宋体" w:eastAsia="宋体" w:cs="宋体"/>
              </w:rPr>
            </w:pPr>
            <w:r>
              <w:rPr>
                <w:rFonts w:hint="eastAsia" w:ascii="宋体" w:hAnsi="宋体" w:eastAsia="宋体" w:cs="宋体"/>
                <w:lang w:val="en-US" w:eastAsia="zh-CN"/>
              </w:rPr>
              <w:t xml:space="preserve">2. </w:t>
            </w:r>
            <w:r>
              <w:rPr>
                <w:rFonts w:hint="eastAsia" w:ascii="宋体" w:hAnsi="宋体" w:eastAsia="宋体" w:cs="宋体"/>
              </w:rPr>
              <w:t>支持对主要诊断/其他诊断/所有诊断、主要手术/其他手术/所有手术进行单编码或者编码范围进行查询。</w:t>
            </w:r>
          </w:p>
          <w:p w14:paraId="3267BA1E">
            <w:pPr>
              <w:numPr>
                <w:ilvl w:val="0"/>
                <w:numId w:val="0"/>
              </w:numPr>
              <w:ind w:leftChars="0"/>
              <w:rPr>
                <w:rFonts w:hint="eastAsia" w:ascii="宋体" w:hAnsi="宋体" w:eastAsia="宋体" w:cs="宋体"/>
              </w:rPr>
            </w:pPr>
            <w:r>
              <w:rPr>
                <w:rFonts w:hint="eastAsia" w:ascii="宋体" w:hAnsi="宋体" w:eastAsia="宋体" w:cs="宋体"/>
                <w:lang w:val="en-US" w:eastAsia="zh-CN"/>
              </w:rPr>
              <w:t xml:space="preserve">3. </w:t>
            </w:r>
            <w:r>
              <w:rPr>
                <w:rFonts w:hint="eastAsia" w:ascii="宋体" w:hAnsi="宋体" w:eastAsia="宋体" w:cs="宋体"/>
              </w:rPr>
              <w:t>支持复合检索配置功能。查询模板的自定义，并支持置顶、复制、设为公共模板、重命名、删除等操作；满足查询列自定义配置功能，支持快捷选取勾选列表显示字段。</w:t>
            </w:r>
          </w:p>
        </w:tc>
      </w:tr>
      <w:tr w14:paraId="7F6E1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34" w:hRule="atLeast"/>
          <w:jc w:val="center"/>
        </w:trPr>
        <w:tc>
          <w:tcPr>
            <w:tcW w:w="1306" w:type="dxa"/>
            <w:vAlign w:val="center"/>
          </w:tcPr>
          <w:p w14:paraId="7F3C7B63">
            <w:pPr>
              <w:jc w:val="left"/>
              <w:rPr>
                <w:rFonts w:hint="eastAsia" w:ascii="宋体" w:hAnsi="宋体" w:eastAsia="宋体" w:cs="宋体"/>
              </w:rPr>
            </w:pPr>
            <w:r>
              <w:rPr>
                <w:rFonts w:hint="eastAsia" w:ascii="宋体" w:hAnsi="宋体" w:eastAsia="宋体" w:cs="宋体"/>
              </w:rPr>
              <w:t>住院SQL查询分析器</w:t>
            </w:r>
          </w:p>
        </w:tc>
        <w:tc>
          <w:tcPr>
            <w:tcW w:w="7061" w:type="dxa"/>
            <w:vAlign w:val="center"/>
          </w:tcPr>
          <w:p w14:paraId="3DECEB48">
            <w:pPr>
              <w:jc w:val="left"/>
              <w:rPr>
                <w:rFonts w:hint="eastAsia" w:ascii="宋体" w:hAnsi="宋体" w:eastAsia="宋体" w:cs="宋体"/>
              </w:rPr>
            </w:pPr>
            <w:r>
              <w:rPr>
                <w:rFonts w:hint="eastAsia" w:ascii="宋体" w:hAnsi="宋体" w:eastAsia="宋体" w:cs="宋体"/>
              </w:rPr>
              <w:t>提供</w:t>
            </w:r>
            <w:r>
              <w:rPr>
                <w:rFonts w:hint="eastAsia" w:ascii="宋体" w:hAnsi="宋体" w:eastAsia="宋体" w:cs="宋体"/>
                <w:lang w:val="en-US" w:eastAsia="zh-CN"/>
              </w:rPr>
              <w:t>SQL</w:t>
            </w:r>
            <w:r>
              <w:rPr>
                <w:rFonts w:hint="eastAsia" w:ascii="宋体" w:hAnsi="宋体" w:eastAsia="宋体" w:cs="宋体"/>
              </w:rPr>
              <w:t>查询功能，满足数据查询的业务需求。</w:t>
            </w:r>
          </w:p>
          <w:p w14:paraId="1F6A323B">
            <w:pPr>
              <w:pStyle w:val="41"/>
              <w:ind w:left="0" w:firstLine="0"/>
              <w:rPr>
                <w:rFonts w:hint="eastAsia" w:ascii="宋体" w:hAnsi="宋体" w:eastAsia="宋体" w:cs="宋体"/>
              </w:rPr>
            </w:pPr>
            <w:r>
              <w:rPr>
                <w:rFonts w:hint="eastAsia" w:ascii="宋体" w:hAnsi="宋体" w:eastAsia="宋体" w:cs="宋体"/>
              </w:rPr>
              <w:t>提供历史执行语句功能，系统存储历史查询语句，支持对历史语句进行复制、收藏和复用等操作。</w:t>
            </w:r>
          </w:p>
        </w:tc>
      </w:tr>
      <w:tr w14:paraId="161E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79" w:hRule="atLeast"/>
          <w:jc w:val="center"/>
        </w:trPr>
        <w:tc>
          <w:tcPr>
            <w:tcW w:w="1306" w:type="dxa"/>
            <w:vAlign w:val="center"/>
          </w:tcPr>
          <w:p w14:paraId="1DC2292E">
            <w:pPr>
              <w:rPr>
                <w:rFonts w:hint="eastAsia" w:ascii="宋体" w:hAnsi="宋体" w:eastAsia="宋体" w:cs="宋体"/>
              </w:rPr>
            </w:pPr>
            <w:r>
              <w:rPr>
                <w:rFonts w:hint="eastAsia" w:ascii="宋体" w:hAnsi="宋体" w:eastAsia="宋体" w:cs="宋体"/>
              </w:rPr>
              <w:t>住院质控管理</w:t>
            </w:r>
          </w:p>
        </w:tc>
        <w:tc>
          <w:tcPr>
            <w:tcW w:w="7061" w:type="dxa"/>
            <w:vAlign w:val="center"/>
          </w:tcPr>
          <w:p w14:paraId="73FE659C">
            <w:pPr>
              <w:numPr>
                <w:ilvl w:val="0"/>
                <w:numId w:val="0"/>
              </w:numPr>
              <w:ind w:leftChars="0"/>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sz w:val="21"/>
                <w:szCs w:val="21"/>
                <w:lang w:val="en-US" w:eastAsia="zh-CN"/>
              </w:rPr>
              <w:t>1.</w:t>
            </w:r>
            <w:r>
              <w:rPr>
                <w:rFonts w:hint="eastAsia" w:ascii="宋体" w:hAnsi="宋体" w:eastAsia="宋体" w:cs="宋体"/>
              </w:rPr>
              <w:t>质控办批注功能：满足质控办对首页数据进行抽查批注。选中批注字段，填写批注内容即可对首页数据进行批注操作。支持历史批注查看和修改</w:t>
            </w:r>
          </w:p>
          <w:p w14:paraId="33B0287E">
            <w:pPr>
              <w:rPr>
                <w:rFonts w:hint="eastAsia" w:ascii="宋体" w:hAnsi="宋体" w:eastAsia="宋体" w:cs="宋体"/>
              </w:rPr>
            </w:pPr>
            <w:r>
              <w:rPr>
                <w:rFonts w:hint="eastAsia" w:ascii="宋体" w:hAnsi="宋体" w:eastAsia="宋体" w:cs="宋体"/>
              </w:rPr>
              <w:t>支持按日期、按科室、病案唯一号、病案号、患者姓名、编码员、批注状态、处理状态进行查询。</w:t>
            </w:r>
          </w:p>
          <w:p w14:paraId="25F85840">
            <w:pPr>
              <w:numPr>
                <w:ilvl w:val="0"/>
                <w:numId w:val="0"/>
              </w:numPr>
              <w:ind w:leftChars="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患者列表包含批注状态、处理状态、病案号、入院次数、姓名、入院时间、出院科室、出院时间、出院科室、住院天数、总费用等。</w:t>
            </w:r>
          </w:p>
          <w:p w14:paraId="07BB69D8">
            <w:pPr>
              <w:numPr>
                <w:ilvl w:val="0"/>
                <w:numId w:val="0"/>
              </w:numPr>
              <w:ind w:leftChars="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编码员批注回复：满足编码员对批注内容进行回复。回复结果包含通过和拒绝，拒绝需要填写拒绝理由等。</w:t>
            </w:r>
          </w:p>
        </w:tc>
      </w:tr>
      <w:tr w14:paraId="7547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14" w:hRule="atLeast"/>
          <w:jc w:val="center"/>
        </w:trPr>
        <w:tc>
          <w:tcPr>
            <w:tcW w:w="1306" w:type="dxa"/>
            <w:vAlign w:val="center"/>
          </w:tcPr>
          <w:p w14:paraId="4C27758B">
            <w:pPr>
              <w:rPr>
                <w:rFonts w:hint="eastAsia" w:ascii="宋体" w:hAnsi="宋体" w:eastAsia="宋体" w:cs="宋体"/>
                <w:lang w:val="en-US" w:eastAsia="zh-CN"/>
              </w:rPr>
            </w:pPr>
            <w:r>
              <w:rPr>
                <w:rFonts w:hint="eastAsia" w:ascii="宋体" w:hAnsi="宋体" w:eastAsia="宋体" w:cs="宋体"/>
              </w:rPr>
              <w:t>住院纸质病案质控</w:t>
            </w:r>
          </w:p>
        </w:tc>
        <w:tc>
          <w:tcPr>
            <w:tcW w:w="7061" w:type="dxa"/>
            <w:vAlign w:val="center"/>
          </w:tcPr>
          <w:p w14:paraId="49419DB2">
            <w:pPr>
              <w:numPr>
                <w:ilvl w:val="0"/>
                <w:numId w:val="15"/>
              </w:numPr>
              <w:rPr>
                <w:rFonts w:hint="eastAsia" w:ascii="宋体" w:hAnsi="宋体" w:eastAsia="宋体" w:cs="宋体"/>
                <w:lang w:val="en-US" w:eastAsia="zh-CN"/>
              </w:rPr>
            </w:pPr>
            <w:r>
              <w:rPr>
                <w:rFonts w:hint="eastAsia" w:ascii="宋体" w:hAnsi="宋体" w:eastAsia="宋体" w:cs="宋体"/>
                <w:lang w:val="en-US" w:eastAsia="zh-CN"/>
              </w:rPr>
              <w:t>系统支持</w:t>
            </w:r>
            <w:r>
              <w:rPr>
                <w:rFonts w:hint="eastAsia" w:ascii="宋体" w:hAnsi="宋体" w:eastAsia="宋体" w:cs="宋体"/>
              </w:rPr>
              <w:t>对回收病历进行质控</w:t>
            </w:r>
            <w:r>
              <w:rPr>
                <w:rFonts w:hint="eastAsia" w:ascii="宋体" w:hAnsi="宋体" w:eastAsia="宋体" w:cs="宋体"/>
                <w:lang w:eastAsia="zh-CN"/>
              </w:rPr>
              <w:t>，</w:t>
            </w:r>
            <w:r>
              <w:rPr>
                <w:rFonts w:hint="eastAsia" w:ascii="宋体" w:hAnsi="宋体" w:eastAsia="宋体" w:cs="宋体"/>
                <w:lang w:val="en-US" w:eastAsia="zh-CN"/>
              </w:rPr>
              <w:t>由</w:t>
            </w:r>
            <w:r>
              <w:rPr>
                <w:rFonts w:hint="eastAsia" w:ascii="宋体" w:hAnsi="宋体" w:eastAsia="宋体" w:cs="宋体"/>
              </w:rPr>
              <w:t>编码员或者质控人员</w:t>
            </w:r>
            <w:r>
              <w:rPr>
                <w:rFonts w:hint="eastAsia" w:ascii="宋体" w:hAnsi="宋体" w:eastAsia="宋体" w:cs="宋体"/>
                <w:lang w:val="en-US" w:eastAsia="zh-CN"/>
              </w:rPr>
              <w:t>填写《广西</w:t>
            </w:r>
            <w:r>
              <w:rPr>
                <w:rFonts w:hint="eastAsia" w:ascii="宋体" w:hAnsi="宋体" w:eastAsia="宋体" w:cs="宋体"/>
              </w:rPr>
              <w:t>病案质控指标检查表</w:t>
            </w:r>
            <w:r>
              <w:rPr>
                <w:rFonts w:hint="eastAsia" w:ascii="宋体" w:hAnsi="宋体" w:eastAsia="宋体" w:cs="宋体"/>
                <w:lang w:val="en-US" w:eastAsia="zh-CN"/>
              </w:rPr>
              <w:t>》，</w:t>
            </w:r>
            <w:r>
              <w:rPr>
                <w:rFonts w:hint="eastAsia" w:ascii="宋体" w:hAnsi="宋体" w:eastAsia="宋体" w:cs="宋体"/>
              </w:rPr>
              <w:t>对</w:t>
            </w:r>
            <w:r>
              <w:rPr>
                <w:rFonts w:hint="eastAsia" w:ascii="宋体" w:hAnsi="宋体" w:eastAsia="宋体" w:cs="宋体"/>
                <w:lang w:val="en-US" w:eastAsia="zh-CN"/>
              </w:rPr>
              <w:t>病历</w:t>
            </w:r>
            <w:r>
              <w:rPr>
                <w:rFonts w:hint="eastAsia" w:ascii="宋体" w:hAnsi="宋体" w:eastAsia="宋体" w:cs="宋体"/>
              </w:rPr>
              <w:t>进行</w:t>
            </w:r>
            <w:r>
              <w:rPr>
                <w:rFonts w:hint="eastAsia" w:ascii="宋体" w:hAnsi="宋体" w:eastAsia="宋体" w:cs="宋体"/>
                <w:lang w:val="en-US" w:eastAsia="zh-CN"/>
              </w:rPr>
              <w:t>手动标记错误，并根据填写结果生成病案质控明细表。</w:t>
            </w:r>
          </w:p>
          <w:p w14:paraId="79BF6B2C">
            <w:pPr>
              <w:numPr>
                <w:ilvl w:val="0"/>
                <w:numId w:val="15"/>
              </w:numPr>
              <w:rPr>
                <w:rFonts w:hint="eastAsia" w:ascii="宋体" w:hAnsi="宋体" w:eastAsia="宋体" w:cs="宋体"/>
                <w:lang w:val="en-US" w:eastAsia="zh-CN"/>
              </w:rPr>
            </w:pPr>
            <w:r>
              <w:rPr>
                <w:rFonts w:hint="eastAsia" w:ascii="宋体" w:hAnsi="宋体" w:eastAsia="宋体" w:cs="宋体"/>
                <w:lang w:val="en-US" w:eastAsia="zh-CN"/>
              </w:rPr>
              <w:t>质控明细表包含所属科室、姓名、错误项、存在问题，出院日期、质控日期、是否乙等、是否缺页等</w:t>
            </w:r>
          </w:p>
          <w:p w14:paraId="40D8554A">
            <w:pPr>
              <w:numPr>
                <w:ilvl w:val="0"/>
                <w:numId w:val="15"/>
              </w:numPr>
              <w:rPr>
                <w:rFonts w:hint="eastAsia" w:ascii="宋体" w:hAnsi="宋体" w:eastAsia="宋体" w:cs="宋体"/>
                <w:lang w:val="en-US" w:eastAsia="zh-CN"/>
              </w:rPr>
            </w:pPr>
            <w:r>
              <w:rPr>
                <w:rFonts w:hint="eastAsia" w:ascii="宋体" w:hAnsi="宋体" w:eastAsia="宋体" w:cs="宋体"/>
                <w:lang w:val="en-US" w:eastAsia="zh-CN"/>
              </w:rPr>
              <w:t>系统具备接口对接的能力，支持通过接口将错误问题反馈给临床医师</w:t>
            </w:r>
          </w:p>
        </w:tc>
      </w:tr>
      <w:tr w14:paraId="6A649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6" w:type="dxa"/>
            <w:vMerge w:val="restart"/>
            <w:vAlign w:val="center"/>
          </w:tcPr>
          <w:p w14:paraId="7C0CF2CD">
            <w:pPr>
              <w:rPr>
                <w:rFonts w:hint="eastAsia" w:ascii="宋体" w:hAnsi="宋体" w:eastAsia="宋体" w:cs="宋体"/>
              </w:rPr>
            </w:pPr>
            <w:r>
              <w:rPr>
                <w:rFonts w:hint="eastAsia" w:ascii="宋体" w:hAnsi="宋体" w:eastAsia="宋体" w:cs="宋体"/>
              </w:rPr>
              <w:t>住院上报管理</w:t>
            </w:r>
          </w:p>
        </w:tc>
        <w:tc>
          <w:tcPr>
            <w:tcW w:w="7061" w:type="dxa"/>
            <w:vAlign w:val="center"/>
          </w:tcPr>
          <w:p w14:paraId="061238E7">
            <w:pPr>
              <w:rPr>
                <w:rFonts w:hint="eastAsia" w:ascii="宋体" w:hAnsi="宋体" w:eastAsia="宋体" w:cs="宋体"/>
              </w:rPr>
            </w:pPr>
            <w:r>
              <w:rPr>
                <w:rFonts w:hint="eastAsia" w:ascii="宋体" w:hAnsi="宋体" w:eastAsia="宋体" w:cs="宋体"/>
              </w:rPr>
              <w:t>满足包括国家卫生统计信息网络直报（简称卫统4 出院病人调查表）、医院数据质量监测（简称HQMS）、三级中西医公立医院绩效考核首页数据填报数据接口模板等要求，预置符合上报要求的多套数据标准接口模板，满足按条件查询和预览数据、检查数据、导出文件的需求。</w:t>
            </w:r>
          </w:p>
          <w:p w14:paraId="7D126C61">
            <w:pPr>
              <w:numPr>
                <w:ilvl w:val="0"/>
                <w:numId w:val="16"/>
              </w:numPr>
              <w:rPr>
                <w:rFonts w:hint="eastAsia" w:ascii="宋体" w:hAnsi="宋体" w:eastAsia="宋体" w:cs="宋体"/>
              </w:rPr>
            </w:pPr>
            <w:r>
              <w:rPr>
                <w:rFonts w:hint="eastAsia" w:ascii="宋体" w:hAnsi="宋体" w:eastAsia="宋体" w:cs="宋体"/>
              </w:rPr>
              <w:t>预览数据：支持按选中上报类型进行数据预览功能。</w:t>
            </w:r>
          </w:p>
          <w:p w14:paraId="64527441">
            <w:pPr>
              <w:numPr>
                <w:ilvl w:val="0"/>
                <w:numId w:val="16"/>
              </w:numPr>
              <w:rPr>
                <w:rFonts w:hint="eastAsia" w:ascii="宋体" w:hAnsi="宋体" w:eastAsia="宋体" w:cs="宋体"/>
              </w:rPr>
            </w:pPr>
            <w:r>
              <w:rPr>
                <w:rFonts w:hint="eastAsia" w:ascii="宋体" w:hAnsi="宋体" w:eastAsia="宋体" w:cs="宋体"/>
              </w:rPr>
              <w:t>数据校验：系统内置各平台上报接口规范，对于待上报的数据支持进行数据校验功能。</w:t>
            </w:r>
          </w:p>
          <w:p w14:paraId="287419C8">
            <w:pPr>
              <w:numPr>
                <w:ilvl w:val="0"/>
                <w:numId w:val="0"/>
              </w:numPr>
              <w:ind w:leftChars="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导出数据：支持按照上报标准导出相应的数据。文件格式支持dbf、csv和xlsx格式。支持自动压缩ZIP格式功能。</w:t>
            </w:r>
          </w:p>
          <w:p w14:paraId="1A26E92A">
            <w:pPr>
              <w:numPr>
                <w:ilvl w:val="0"/>
                <w:numId w:val="0"/>
              </w:numPr>
              <w:ind w:leftChars="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医保上报首页接口。</w:t>
            </w:r>
          </w:p>
        </w:tc>
      </w:tr>
      <w:tr w14:paraId="7A418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6" w:type="dxa"/>
            <w:vMerge w:val="continue"/>
            <w:vAlign w:val="center"/>
          </w:tcPr>
          <w:p w14:paraId="2BC8B8E1">
            <w:pPr>
              <w:rPr>
                <w:rFonts w:hint="eastAsia" w:ascii="宋体" w:hAnsi="宋体" w:eastAsia="宋体" w:cs="宋体"/>
              </w:rPr>
            </w:pPr>
          </w:p>
        </w:tc>
        <w:tc>
          <w:tcPr>
            <w:tcW w:w="7061" w:type="dxa"/>
            <w:vAlign w:val="center"/>
          </w:tcPr>
          <w:p w14:paraId="0E32AA39">
            <w:pPr>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rPr>
              <w:t>校验规则：系统内置包含国家卫生统计信息网路直报（</w:t>
            </w:r>
            <w:r>
              <w:rPr>
                <w:rFonts w:hint="eastAsia" w:ascii="宋体" w:hAnsi="宋体" w:eastAsia="宋体" w:cs="宋体"/>
                <w:lang w:val="en-US" w:eastAsia="zh-CN"/>
              </w:rPr>
              <w:t>医院</w:t>
            </w:r>
            <w:r>
              <w:rPr>
                <w:rFonts w:hint="eastAsia" w:ascii="宋体" w:hAnsi="宋体" w:eastAsia="宋体" w:cs="宋体"/>
              </w:rPr>
              <w:t>出院病人调查表</w:t>
            </w:r>
            <w:r>
              <w:rPr>
                <w:rFonts w:hint="eastAsia" w:ascii="宋体" w:hAnsi="宋体" w:eastAsia="宋体" w:cs="宋体"/>
                <w:lang w:eastAsia="zh-CN"/>
              </w:rPr>
              <w:t>，</w:t>
            </w:r>
            <w:r>
              <w:rPr>
                <w:rFonts w:hint="eastAsia" w:ascii="宋体" w:hAnsi="宋体" w:eastAsia="宋体" w:cs="宋体"/>
              </w:rPr>
              <w:t>简称卫</w:t>
            </w:r>
            <w:r>
              <w:rPr>
                <w:rFonts w:hint="eastAsia" w:ascii="宋体" w:hAnsi="宋体" w:eastAsia="宋体" w:cs="宋体"/>
                <w:lang w:val="en-US" w:eastAsia="zh-CN"/>
              </w:rPr>
              <w:t>健</w:t>
            </w:r>
            <w:r>
              <w:rPr>
                <w:rFonts w:hint="eastAsia" w:ascii="宋体" w:hAnsi="宋体" w:eastAsia="宋体" w:cs="宋体"/>
              </w:rPr>
              <w:t>统4</w:t>
            </w:r>
            <w:r>
              <w:rPr>
                <w:rFonts w:hint="eastAsia" w:ascii="宋体" w:hAnsi="宋体" w:eastAsia="宋体" w:cs="宋体"/>
                <w:lang w:val="en-US" w:eastAsia="zh-CN"/>
              </w:rPr>
              <w:t>-1表</w:t>
            </w:r>
            <w:r>
              <w:rPr>
                <w:rFonts w:hint="eastAsia" w:ascii="宋体" w:hAnsi="宋体" w:eastAsia="宋体" w:cs="宋体"/>
              </w:rPr>
              <w:t>）、医院数据质量监测（简称HQMS）、三级中西医公立医院绩效考核首页数据填报数据规范规则，支持对校验规则进行修改、删除等操作。</w:t>
            </w:r>
          </w:p>
        </w:tc>
      </w:tr>
      <w:tr w14:paraId="62A2B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1" w:hRule="atLeast"/>
          <w:jc w:val="center"/>
        </w:trPr>
        <w:tc>
          <w:tcPr>
            <w:tcW w:w="1306" w:type="dxa"/>
            <w:vMerge w:val="restart"/>
            <w:vAlign w:val="center"/>
          </w:tcPr>
          <w:p w14:paraId="63904E03">
            <w:pPr>
              <w:rPr>
                <w:rFonts w:hint="eastAsia" w:ascii="宋体" w:hAnsi="宋体" w:eastAsia="宋体" w:cs="宋体"/>
              </w:rPr>
            </w:pPr>
            <w:r>
              <w:rPr>
                <w:rFonts w:hint="eastAsia" w:ascii="宋体" w:hAnsi="宋体" w:eastAsia="宋体" w:cs="宋体"/>
              </w:rPr>
              <w:t>住院报表中心</w:t>
            </w:r>
          </w:p>
        </w:tc>
        <w:tc>
          <w:tcPr>
            <w:tcW w:w="7061" w:type="dxa"/>
            <w:vAlign w:val="center"/>
          </w:tcPr>
          <w:p w14:paraId="591EEBBF">
            <w:pPr>
              <w:numPr>
                <w:ilvl w:val="0"/>
                <w:numId w:val="17"/>
              </w:numPr>
              <w:rPr>
                <w:rFonts w:hint="eastAsia" w:ascii="宋体" w:hAnsi="宋体" w:eastAsia="宋体" w:cs="宋体"/>
              </w:rPr>
            </w:pPr>
            <w:r>
              <w:rPr>
                <w:rFonts w:hint="eastAsia" w:ascii="宋体" w:hAnsi="宋体" w:eastAsia="宋体" w:cs="宋体"/>
              </w:rPr>
              <w:t>根据病案室统计日常工作要求，系统预置多个种类报表，包括：工作量报表、病案报表、手术报表、卫统报表、绩效指标报表、医疗质量报表、卫统报表、费用报表等。报表支持导出Excel、PDF等格式。根据病案首页数据、医院其他系统相关数据、手工登记数据进行院内报表统计，常用报表包括：</w:t>
            </w:r>
          </w:p>
          <w:p w14:paraId="70AC67ED">
            <w:pPr>
              <w:numPr>
                <w:ilvl w:val="0"/>
                <w:numId w:val="18"/>
              </w:numPr>
              <w:rPr>
                <w:rFonts w:hint="eastAsia" w:ascii="宋体" w:hAnsi="宋体" w:eastAsia="宋体" w:cs="宋体"/>
              </w:rPr>
            </w:pPr>
            <w:r>
              <w:rPr>
                <w:rFonts w:hint="eastAsia" w:ascii="宋体" w:hAnsi="宋体" w:eastAsia="宋体" w:cs="宋体"/>
              </w:rPr>
              <w:t>住院动态报表一：指标涵盖期末实有床位、原有人数、入院人数、转入人数、各离院方式人数、转出人数、留院人数、实际开放总床日数、实际占用总床日数、出院者占用总床日数、抢救情况（含人数、存活数、抢救次数、成功次数）、病危或病重人数、疑难病例数、实施临床路径管理人数、完成临床路径管理人数、入院情况、诊断质量等。</w:t>
            </w:r>
          </w:p>
          <w:p w14:paraId="2CD7287A">
            <w:pPr>
              <w:numPr>
                <w:ilvl w:val="0"/>
                <w:numId w:val="18"/>
              </w:numPr>
              <w:rPr>
                <w:rFonts w:hint="eastAsia" w:ascii="宋体" w:hAnsi="宋体" w:eastAsia="宋体" w:cs="宋体"/>
              </w:rPr>
            </w:pPr>
            <w:r>
              <w:rPr>
                <w:rFonts w:hint="eastAsia" w:ascii="宋体" w:hAnsi="宋体" w:eastAsia="宋体" w:cs="宋体"/>
              </w:rPr>
              <w:t>住院动态报表二：用于剖析医院各科室的运营状况与医疗质量。指标包含平均开放床位、各离院方式比率、日均住院人数、病危情况、抢救率、抢救存活率、抢救成功率、平均病床周转次数、平均病床工作日数、病床使用率、出院者平均住院日、诊断质量等。</w:t>
            </w:r>
          </w:p>
          <w:p w14:paraId="11F7FE78">
            <w:pPr>
              <w:numPr>
                <w:ilvl w:val="0"/>
                <w:numId w:val="18"/>
              </w:numPr>
              <w:rPr>
                <w:rFonts w:hint="eastAsia" w:ascii="宋体" w:hAnsi="宋体" w:eastAsia="宋体" w:cs="宋体"/>
              </w:rPr>
            </w:pPr>
            <w:r>
              <w:rPr>
                <w:rFonts w:hint="eastAsia" w:ascii="宋体" w:hAnsi="宋体" w:eastAsia="宋体" w:cs="宋体"/>
              </w:rPr>
              <w:t>手术报表：指标涵盖一级手术量、二级手术量、三级手术量以及四级手术量</w:t>
            </w:r>
          </w:p>
          <w:p w14:paraId="2A2913A7">
            <w:pPr>
              <w:numPr>
                <w:ilvl w:val="0"/>
                <w:numId w:val="18"/>
              </w:numPr>
              <w:rPr>
                <w:rFonts w:hint="eastAsia" w:ascii="宋体" w:hAnsi="宋体" w:eastAsia="宋体" w:cs="宋体"/>
              </w:rPr>
            </w:pPr>
            <w:r>
              <w:rPr>
                <w:rFonts w:hint="eastAsia" w:ascii="宋体" w:hAnsi="宋体" w:eastAsia="宋体" w:cs="宋体"/>
              </w:rPr>
              <w:t>门诊报表：门急诊诊疗人次数据是报表的核心组成部分，区分总计人次、专科门诊人次、专家门诊人次、未挂号就诊人次、急诊人次以及出诊人次；急诊病危人数、急诊抢救人次、急诊抢救人数等及观察室收治动态数据，含原有人数、入观人数、出观人数和现有人数。</w:t>
            </w:r>
          </w:p>
        </w:tc>
      </w:tr>
      <w:tr w14:paraId="61B07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6" w:type="dxa"/>
            <w:vMerge w:val="continue"/>
            <w:vAlign w:val="center"/>
          </w:tcPr>
          <w:p w14:paraId="6BB4BF76">
            <w:pPr>
              <w:rPr>
                <w:rFonts w:hint="eastAsia" w:ascii="宋体" w:hAnsi="宋体" w:eastAsia="宋体" w:cs="宋体"/>
              </w:rPr>
            </w:pPr>
          </w:p>
        </w:tc>
        <w:tc>
          <w:tcPr>
            <w:tcW w:w="7061" w:type="dxa"/>
            <w:vAlign w:val="center"/>
          </w:tcPr>
          <w:p w14:paraId="7A17663A">
            <w:pPr>
              <w:rPr>
                <w:rFonts w:hint="eastAsia" w:ascii="宋体" w:hAnsi="宋体" w:eastAsia="宋体" w:cs="宋体"/>
                <w:kern w:val="0"/>
                <w:sz w:val="24"/>
                <w:lang w:bidi="ar"/>
              </w:rPr>
            </w:pPr>
            <w:r>
              <w:rPr>
                <w:rFonts w:hint="eastAsia" w:ascii="宋体" w:hAnsi="宋体" w:eastAsia="宋体" w:cs="宋体"/>
              </w:rPr>
              <w:t>根据系统内置的工作日和逾期规则，用户可查看时间范围内各科室病案的回收情况。</w:t>
            </w:r>
          </w:p>
        </w:tc>
      </w:tr>
      <w:tr w14:paraId="127D7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Merge w:val="continue"/>
            <w:vAlign w:val="center"/>
          </w:tcPr>
          <w:p w14:paraId="5E665A11">
            <w:pPr>
              <w:rPr>
                <w:rFonts w:hint="eastAsia" w:ascii="宋体" w:hAnsi="宋体" w:eastAsia="宋体" w:cs="宋体"/>
              </w:rPr>
            </w:pPr>
          </w:p>
        </w:tc>
        <w:tc>
          <w:tcPr>
            <w:tcW w:w="7061" w:type="dxa"/>
            <w:vAlign w:val="center"/>
          </w:tcPr>
          <w:p w14:paraId="235741D9">
            <w:pPr>
              <w:rPr>
                <w:rFonts w:hint="eastAsia" w:ascii="宋体" w:hAnsi="宋体" w:eastAsia="宋体" w:cs="宋体"/>
              </w:rPr>
            </w:pPr>
            <w:r>
              <w:rPr>
                <w:rFonts w:hint="eastAsia" w:ascii="宋体" w:hAnsi="宋体" w:eastAsia="宋体" w:cs="宋体"/>
              </w:rPr>
              <w:t>工作量导入：系统提供门诊、住院工作量导入的功能，实现按日，或按月定时获取接口工作量数据的功能。支持定时导入和人工批量导入两种方式。</w:t>
            </w:r>
          </w:p>
        </w:tc>
      </w:tr>
      <w:tr w14:paraId="5AD2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Merge w:val="continue"/>
            <w:vAlign w:val="center"/>
          </w:tcPr>
          <w:p w14:paraId="46BB7DE0">
            <w:pPr>
              <w:rPr>
                <w:rFonts w:hint="eastAsia" w:ascii="宋体" w:hAnsi="宋体" w:eastAsia="宋体" w:cs="宋体"/>
              </w:rPr>
            </w:pPr>
          </w:p>
        </w:tc>
        <w:tc>
          <w:tcPr>
            <w:tcW w:w="7061" w:type="dxa"/>
            <w:vAlign w:val="center"/>
          </w:tcPr>
          <w:p w14:paraId="57A7423F">
            <w:pPr>
              <w:widowControl/>
              <w:rPr>
                <w:rFonts w:hint="eastAsia" w:ascii="宋体" w:hAnsi="宋体" w:eastAsia="宋体" w:cs="宋体"/>
              </w:rPr>
            </w:pPr>
            <w:r>
              <w:rPr>
                <w:rFonts w:hint="eastAsia" w:ascii="宋体" w:hAnsi="宋体" w:eastAsia="宋体" w:cs="宋体"/>
              </w:rPr>
              <w:t>门诊工作量录入：指标包含合计、初诊、复诊、急诊、专家、会诊、体检、手术、其他、抢救次数、成功人数、死亡人数。系统支持筛选和查看某一时间范围内各科室的门诊工作量，满足按科室排序、按日期排序的查看方式，</w:t>
            </w:r>
            <w:r>
              <w:rPr>
                <w:rFonts w:hint="eastAsia" w:ascii="宋体" w:hAnsi="宋体" w:eastAsia="宋体" w:cs="宋体"/>
                <w:kern w:val="0"/>
                <w:lang w:bidi="ar"/>
              </w:rPr>
              <w:t>此模块支持人工录入和保存各个科室每日的工作量，以及后期对已录数据查询、修改和保存。</w:t>
            </w:r>
          </w:p>
        </w:tc>
      </w:tr>
      <w:tr w14:paraId="416B3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Merge w:val="continue"/>
            <w:vAlign w:val="center"/>
          </w:tcPr>
          <w:p w14:paraId="6FCF6EA8">
            <w:pPr>
              <w:rPr>
                <w:rFonts w:hint="eastAsia" w:ascii="宋体" w:hAnsi="宋体" w:eastAsia="宋体" w:cs="宋体"/>
              </w:rPr>
            </w:pPr>
          </w:p>
        </w:tc>
        <w:tc>
          <w:tcPr>
            <w:tcW w:w="7061" w:type="dxa"/>
            <w:vAlign w:val="center"/>
          </w:tcPr>
          <w:p w14:paraId="6D7DA0EF">
            <w:pPr>
              <w:rPr>
                <w:rFonts w:hint="eastAsia" w:ascii="宋体" w:hAnsi="宋体" w:eastAsia="宋体" w:cs="宋体"/>
              </w:rPr>
            </w:pPr>
            <w:r>
              <w:rPr>
                <w:rFonts w:hint="eastAsia" w:ascii="宋体" w:hAnsi="宋体" w:eastAsia="宋体" w:cs="宋体"/>
              </w:rPr>
              <w:t>住院工作量录入：指标包含原有病人数、现有人数、入院人数、他科转入、转往他科、出院合计、占用总床、危重人数、手术人数、陪人数、抢救人次、抢救成功人数、死亡人数。支持筛选和查看某一时间范围内各科室的住院工作量，满足按科室排序、按日期排序的查看方式，在已有数据基础上，支持人工修改单个或多个科室的住院工作量；并且根据系统内配置的数据逻辑关系，自动调整其他相关数据。</w:t>
            </w:r>
          </w:p>
        </w:tc>
      </w:tr>
      <w:tr w14:paraId="3239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306" w:type="dxa"/>
            <w:vMerge w:val="continue"/>
            <w:vAlign w:val="center"/>
          </w:tcPr>
          <w:p w14:paraId="60F86DEF">
            <w:pPr>
              <w:rPr>
                <w:rFonts w:hint="eastAsia" w:ascii="宋体" w:hAnsi="宋体" w:eastAsia="宋体" w:cs="宋体"/>
              </w:rPr>
            </w:pPr>
          </w:p>
        </w:tc>
        <w:tc>
          <w:tcPr>
            <w:tcW w:w="7061" w:type="dxa"/>
            <w:vAlign w:val="center"/>
          </w:tcPr>
          <w:p w14:paraId="3FDA76C5">
            <w:pPr>
              <w:rPr>
                <w:rFonts w:hint="eastAsia" w:ascii="宋体" w:hAnsi="宋体" w:eastAsia="宋体" w:cs="宋体"/>
              </w:rPr>
            </w:pPr>
            <w:r>
              <w:rPr>
                <w:rFonts w:hint="eastAsia" w:ascii="宋体" w:hAnsi="宋体" w:eastAsia="宋体" w:cs="宋体"/>
              </w:rPr>
              <w:t>观察室工作量录入：指标包含床位数、原有人数、入观人数、出观人数、现有人数、收治本院、转往他院、死亡、其他、抢救人次、抢救成功人次、输液人次、输液反应人次、输血人次、输血反应人次。支持筛选和查看某一时间范围内各科室的观察室工作量，满足按科室排序、按日期排序的查看方式，在已有数据基础上，支持人工修改单个或多个科室的观察室工作量。</w:t>
            </w:r>
          </w:p>
        </w:tc>
      </w:tr>
      <w:tr w14:paraId="343B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34" w:hRule="atLeast"/>
          <w:jc w:val="center"/>
        </w:trPr>
        <w:tc>
          <w:tcPr>
            <w:tcW w:w="1306" w:type="dxa"/>
            <w:vMerge w:val="continue"/>
            <w:vAlign w:val="center"/>
          </w:tcPr>
          <w:p w14:paraId="661C4523">
            <w:pPr>
              <w:rPr>
                <w:rFonts w:hint="eastAsia" w:ascii="宋体" w:hAnsi="宋体" w:eastAsia="宋体" w:cs="宋体"/>
              </w:rPr>
            </w:pPr>
          </w:p>
        </w:tc>
        <w:tc>
          <w:tcPr>
            <w:tcW w:w="7061" w:type="dxa"/>
            <w:vAlign w:val="center"/>
          </w:tcPr>
          <w:p w14:paraId="11C9A115">
            <w:pPr>
              <w:rPr>
                <w:rFonts w:hint="eastAsia" w:ascii="宋体" w:hAnsi="宋体" w:eastAsia="宋体" w:cs="宋体"/>
              </w:rPr>
            </w:pPr>
            <w:r>
              <w:rPr>
                <w:rFonts w:hint="eastAsia" w:ascii="宋体" w:hAnsi="宋体" w:eastAsia="宋体" w:cs="宋体"/>
              </w:rPr>
              <w:t>自定义报表：</w:t>
            </w:r>
          </w:p>
          <w:p w14:paraId="1934A1C2">
            <w:pPr>
              <w:numPr>
                <w:ilvl w:val="0"/>
                <w:numId w:val="19"/>
              </w:numPr>
              <w:rPr>
                <w:rFonts w:hint="eastAsia" w:ascii="宋体" w:hAnsi="宋体" w:eastAsia="宋体" w:cs="宋体"/>
              </w:rPr>
            </w:pPr>
            <w:r>
              <w:rPr>
                <w:rFonts w:hint="eastAsia" w:ascii="宋体" w:hAnsi="宋体" w:eastAsia="宋体" w:cs="宋体"/>
              </w:rPr>
              <w:t>编码工作量统计：以柱形图和饼图展示病案员工作量；以堆积柱形图显示各编码员其他诊断数量、其他手术编码数量、录入病案数量、主要诊断编码数量、主要操作编码数量、主要手术编码数量。</w:t>
            </w:r>
          </w:p>
          <w:p w14:paraId="19739DF2">
            <w:pPr>
              <w:numPr>
                <w:ilvl w:val="0"/>
                <w:numId w:val="19"/>
              </w:numPr>
              <w:rPr>
                <w:rFonts w:hint="eastAsia" w:ascii="宋体" w:hAnsi="宋体" w:eastAsia="宋体" w:cs="宋体"/>
              </w:rPr>
            </w:pPr>
            <w:r>
              <w:rPr>
                <w:rFonts w:hint="eastAsia" w:ascii="宋体" w:hAnsi="宋体" w:eastAsia="宋体" w:cs="宋体"/>
              </w:rPr>
              <w:t>质控问题统计：</w:t>
            </w:r>
          </w:p>
          <w:p w14:paraId="693EC573">
            <w:pPr>
              <w:rPr>
                <w:rFonts w:hint="eastAsia" w:ascii="宋体" w:hAnsi="宋体" w:eastAsia="宋体" w:cs="宋体"/>
              </w:rPr>
            </w:pPr>
            <w:r>
              <w:rPr>
                <w:rFonts w:hint="eastAsia" w:ascii="宋体" w:hAnsi="宋体" w:eastAsia="宋体" w:cs="宋体"/>
              </w:rPr>
              <w:t>对出院总数、质控总数、质控错误数、编码类错误数、非编码类错误数、平均每份首页错误数据进行汇总；支持按月按年切换展示平均问题趋势图；列表分别对编码问题和非编码问题进行汇总，按错误数进行倒序展示，并支持钻取到具体的患者数据。</w:t>
            </w:r>
          </w:p>
          <w:p w14:paraId="49461DF5">
            <w:pPr>
              <w:numPr>
                <w:ilvl w:val="0"/>
                <w:numId w:val="19"/>
              </w:numPr>
              <w:rPr>
                <w:rFonts w:hint="eastAsia" w:ascii="宋体" w:hAnsi="宋体" w:eastAsia="宋体" w:cs="宋体"/>
              </w:rPr>
            </w:pPr>
            <w:r>
              <w:rPr>
                <w:rFonts w:hint="eastAsia" w:ascii="宋体" w:hAnsi="宋体" w:eastAsia="宋体" w:cs="宋体"/>
              </w:rPr>
              <w:t>评分质量统计：以柱形图和列表展示各科室评分错误数，列表包含患者出院总数、质控数、平均得分、填报完整率、基本信息扣分、过程信息扣分、诊疗信息扣分、费用信息扣分等内容。支持对评分项及错误数进行展示，选中具体评分项可钻取到具体患者。</w:t>
            </w:r>
          </w:p>
          <w:p w14:paraId="742A95E9">
            <w:pPr>
              <w:numPr>
                <w:ilvl w:val="0"/>
                <w:numId w:val="19"/>
              </w:numPr>
              <w:rPr>
                <w:rFonts w:hint="eastAsia" w:ascii="宋体" w:hAnsi="宋体" w:eastAsia="宋体" w:cs="宋体"/>
              </w:rPr>
            </w:pPr>
            <w:r>
              <w:rPr>
                <w:rFonts w:hint="eastAsia" w:ascii="宋体" w:hAnsi="宋体" w:eastAsia="宋体" w:cs="宋体"/>
              </w:rPr>
              <w:t>病案签收归档统计：实现对医院各科室的病案归档情况进行统计，具体涵盖各科室未回收病案、已回收病案、已退回病案以及超期病案的数量统计，并提供明细查看功能。</w:t>
            </w:r>
          </w:p>
          <w:p w14:paraId="725B624D">
            <w:pPr>
              <w:numPr>
                <w:ilvl w:val="0"/>
                <w:numId w:val="19"/>
              </w:numPr>
              <w:rPr>
                <w:rFonts w:hint="eastAsia" w:ascii="宋体" w:hAnsi="宋体" w:eastAsia="宋体" w:cs="宋体"/>
              </w:rPr>
            </w:pPr>
            <w:r>
              <w:rPr>
                <w:rFonts w:hint="eastAsia" w:ascii="宋体" w:hAnsi="宋体" w:eastAsia="宋体" w:cs="宋体"/>
              </w:rPr>
              <w:t>病案借阅统计：以柱形图进行展示不同科室的病案借阅数量，以饼图对借阅事由进行统计展示，能够清晰呈现各类借阅事由的分布情况。同时还包含逾期未还的病案明细。</w:t>
            </w:r>
          </w:p>
        </w:tc>
      </w:tr>
      <w:tr w14:paraId="2BCB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306" w:type="dxa"/>
            <w:vAlign w:val="center"/>
          </w:tcPr>
          <w:p w14:paraId="1E26D699">
            <w:pPr>
              <w:rPr>
                <w:rFonts w:hint="eastAsia" w:ascii="宋体" w:hAnsi="宋体" w:eastAsia="宋体" w:cs="宋体"/>
              </w:rPr>
            </w:pPr>
            <w:r>
              <w:rPr>
                <w:rFonts w:hint="eastAsia" w:ascii="宋体" w:hAnsi="宋体" w:eastAsia="宋体" w:cs="宋体"/>
              </w:rPr>
              <w:t>住院自定义报表</w:t>
            </w:r>
          </w:p>
        </w:tc>
        <w:tc>
          <w:tcPr>
            <w:tcW w:w="7061" w:type="dxa"/>
            <w:vAlign w:val="center"/>
          </w:tcPr>
          <w:p w14:paraId="52337312">
            <w:pPr>
              <w:rPr>
                <w:rFonts w:hint="eastAsia" w:ascii="宋体" w:hAnsi="宋体" w:eastAsia="宋体" w:cs="宋体"/>
                <w:lang w:eastAsia="zh-CN"/>
              </w:rPr>
            </w:pPr>
            <w:r>
              <w:rPr>
                <w:rFonts w:hint="eastAsia" w:ascii="宋体" w:hAnsi="宋体" w:eastAsia="宋体" w:cs="宋体"/>
              </w:rPr>
              <w:t>BI自定义报表：具备灵活的报表定制与数据处理能力，能够满足多样化的业务需求。用户可根据实际需求自定义报表格式以及数据加载内容，同时支持配置多种图表样式，具体功能如下：数据整合、自动化报表生成、数据可视化、实时数据分析、仪表板定制、权限管理、导出与打印、丰富图表格式等</w:t>
            </w:r>
            <w:r>
              <w:rPr>
                <w:rFonts w:hint="eastAsia" w:ascii="宋体" w:hAnsi="宋体" w:eastAsia="宋体" w:cs="宋体"/>
                <w:lang w:eastAsia="zh-CN"/>
              </w:rPr>
              <w:t>。</w:t>
            </w:r>
          </w:p>
        </w:tc>
      </w:tr>
      <w:tr w14:paraId="1BAB2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84" w:hRule="atLeast"/>
          <w:jc w:val="center"/>
        </w:trPr>
        <w:tc>
          <w:tcPr>
            <w:tcW w:w="1306" w:type="dxa"/>
            <w:vMerge w:val="restart"/>
            <w:vAlign w:val="center"/>
          </w:tcPr>
          <w:p w14:paraId="51653B0A">
            <w:pPr>
              <w:rPr>
                <w:rFonts w:hint="eastAsia" w:ascii="宋体" w:hAnsi="宋体" w:eastAsia="宋体" w:cs="宋体"/>
              </w:rPr>
            </w:pPr>
            <w:r>
              <w:rPr>
                <w:rFonts w:hint="eastAsia" w:ascii="宋体" w:hAnsi="宋体" w:eastAsia="宋体" w:cs="宋体"/>
              </w:rPr>
              <w:t>住院配置中心</w:t>
            </w:r>
          </w:p>
        </w:tc>
        <w:tc>
          <w:tcPr>
            <w:tcW w:w="7061" w:type="dxa"/>
            <w:vAlign w:val="center"/>
          </w:tcPr>
          <w:p w14:paraId="6460D325">
            <w:pPr>
              <w:rPr>
                <w:rFonts w:hint="eastAsia" w:ascii="宋体" w:hAnsi="宋体" w:eastAsia="宋体" w:cs="宋体"/>
              </w:rPr>
            </w:pPr>
            <w:r>
              <w:rPr>
                <w:rFonts w:hint="eastAsia" w:ascii="宋体" w:hAnsi="宋体" w:eastAsia="宋体" w:cs="宋体"/>
              </w:rPr>
              <w:t>系统配置：</w:t>
            </w:r>
          </w:p>
          <w:p w14:paraId="532628CB">
            <w:pPr>
              <w:numPr>
                <w:ilvl w:val="0"/>
                <w:numId w:val="20"/>
              </w:numPr>
              <w:rPr>
                <w:rFonts w:hint="eastAsia" w:ascii="宋体" w:hAnsi="宋体" w:eastAsia="宋体" w:cs="宋体"/>
              </w:rPr>
            </w:pPr>
            <w:r>
              <w:rPr>
                <w:rFonts w:hint="eastAsia" w:ascii="宋体" w:hAnsi="宋体" w:eastAsia="宋体" w:cs="宋体"/>
              </w:rPr>
              <w:t>工作日配置：系统预置近三年工作日、节假日信息，以便系统统计病案回收率、病案逾期。</w:t>
            </w:r>
          </w:p>
        </w:tc>
      </w:tr>
      <w:tr w14:paraId="31A38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73" w:hRule="atLeast"/>
          <w:jc w:val="center"/>
        </w:trPr>
        <w:tc>
          <w:tcPr>
            <w:tcW w:w="1306" w:type="dxa"/>
            <w:vMerge w:val="continue"/>
            <w:vAlign w:val="center"/>
          </w:tcPr>
          <w:p w14:paraId="554F4FD8">
            <w:pPr>
              <w:rPr>
                <w:rFonts w:hint="eastAsia" w:ascii="宋体" w:hAnsi="宋体" w:eastAsia="宋体" w:cs="宋体"/>
              </w:rPr>
            </w:pPr>
          </w:p>
        </w:tc>
        <w:tc>
          <w:tcPr>
            <w:tcW w:w="7061" w:type="dxa"/>
            <w:vAlign w:val="center"/>
          </w:tcPr>
          <w:p w14:paraId="45B4D283">
            <w:pPr>
              <w:numPr>
                <w:ilvl w:val="0"/>
                <w:numId w:val="21"/>
              </w:numPr>
              <w:rPr>
                <w:rFonts w:hint="eastAsia" w:ascii="宋体" w:hAnsi="宋体" w:eastAsia="宋体" w:cs="宋体"/>
              </w:rPr>
            </w:pPr>
            <w:r>
              <w:rPr>
                <w:rFonts w:hint="eastAsia" w:ascii="宋体" w:hAnsi="宋体" w:eastAsia="宋体" w:cs="宋体"/>
              </w:rPr>
              <w:t>字段配置：系统支持对病案首页的基础信息、诊断信息、手术信息、费用信息、其他信息等模块内的字段进行配置，支持修改字段信息、长度、状态、必填校验等。</w:t>
            </w:r>
          </w:p>
          <w:p w14:paraId="711DD0B9">
            <w:pPr>
              <w:numPr>
                <w:ilvl w:val="0"/>
                <w:numId w:val="21"/>
              </w:numPr>
              <w:rPr>
                <w:rFonts w:hint="eastAsia" w:ascii="宋体" w:hAnsi="宋体" w:eastAsia="宋体" w:cs="宋体"/>
              </w:rPr>
            </w:pPr>
            <w:r>
              <w:rPr>
                <w:rFonts w:hint="eastAsia" w:ascii="宋体" w:hAnsi="宋体" w:eastAsia="宋体" w:cs="宋体"/>
              </w:rPr>
              <w:t>列表配置：系统支持对病案首页入院诊断、门急诊诊断、出院诊断、手术信息、病理、损伤中毒外因、转科、重症等列表和列表内段进行配置。</w:t>
            </w:r>
          </w:p>
        </w:tc>
      </w:tr>
      <w:tr w14:paraId="1199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7" w:hRule="atLeast"/>
          <w:jc w:val="center"/>
        </w:trPr>
        <w:tc>
          <w:tcPr>
            <w:tcW w:w="1306" w:type="dxa"/>
            <w:vMerge w:val="continue"/>
            <w:vAlign w:val="center"/>
          </w:tcPr>
          <w:p w14:paraId="28DF8F5A">
            <w:pPr>
              <w:rPr>
                <w:rFonts w:hint="eastAsia" w:ascii="宋体" w:hAnsi="宋体" w:eastAsia="宋体" w:cs="宋体"/>
              </w:rPr>
            </w:pPr>
          </w:p>
        </w:tc>
        <w:tc>
          <w:tcPr>
            <w:tcW w:w="7061" w:type="dxa"/>
            <w:vAlign w:val="center"/>
          </w:tcPr>
          <w:p w14:paraId="72816DFE">
            <w:pPr>
              <w:rPr>
                <w:rFonts w:hint="eastAsia" w:ascii="宋体" w:hAnsi="宋体" w:eastAsia="宋体" w:cs="宋体"/>
              </w:rPr>
            </w:pPr>
            <w:r>
              <w:rPr>
                <w:rFonts w:hint="eastAsia" w:ascii="宋体" w:hAnsi="宋体" w:eastAsia="宋体" w:cs="宋体"/>
              </w:rPr>
              <w:t>用户管理：建立用户管理模块，支持对用户信息、密码进行修改以及用户的启用/停用。</w:t>
            </w:r>
          </w:p>
        </w:tc>
      </w:tr>
      <w:tr w14:paraId="0CA2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3" w:hRule="atLeast"/>
          <w:jc w:val="center"/>
        </w:trPr>
        <w:tc>
          <w:tcPr>
            <w:tcW w:w="1306" w:type="dxa"/>
            <w:vMerge w:val="continue"/>
            <w:vAlign w:val="center"/>
          </w:tcPr>
          <w:p w14:paraId="22850CBD">
            <w:pPr>
              <w:rPr>
                <w:rFonts w:hint="eastAsia" w:ascii="宋体" w:hAnsi="宋体" w:eastAsia="宋体" w:cs="宋体"/>
              </w:rPr>
            </w:pPr>
          </w:p>
        </w:tc>
        <w:tc>
          <w:tcPr>
            <w:tcW w:w="7061" w:type="dxa"/>
            <w:vAlign w:val="center"/>
          </w:tcPr>
          <w:p w14:paraId="78859E22">
            <w:pPr>
              <w:rPr>
                <w:rFonts w:hint="eastAsia" w:ascii="宋体" w:hAnsi="宋体" w:eastAsia="宋体" w:cs="宋体"/>
              </w:rPr>
            </w:pPr>
            <w:r>
              <w:rPr>
                <w:rFonts w:hint="eastAsia" w:ascii="宋体" w:hAnsi="宋体" w:eastAsia="宋体" w:cs="宋体"/>
              </w:rPr>
              <w:t>数据源管理：系统支持对多个数据源进行管理。包含维护数据源、取数列、取数类型、用户名和密码等内容。</w:t>
            </w:r>
          </w:p>
        </w:tc>
      </w:tr>
      <w:tr w14:paraId="55F1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413" w:hRule="atLeast"/>
          <w:jc w:val="center"/>
        </w:trPr>
        <w:tc>
          <w:tcPr>
            <w:tcW w:w="1306" w:type="dxa"/>
            <w:vMerge w:val="continue"/>
            <w:vAlign w:val="center"/>
          </w:tcPr>
          <w:p w14:paraId="030C90F1">
            <w:pPr>
              <w:rPr>
                <w:rFonts w:hint="eastAsia" w:ascii="宋体" w:hAnsi="宋体" w:eastAsia="宋体" w:cs="宋体"/>
              </w:rPr>
            </w:pPr>
          </w:p>
        </w:tc>
        <w:tc>
          <w:tcPr>
            <w:tcW w:w="7061" w:type="dxa"/>
            <w:vAlign w:val="center"/>
          </w:tcPr>
          <w:p w14:paraId="7A406F62">
            <w:pPr>
              <w:rPr>
                <w:rFonts w:hint="eastAsia" w:ascii="宋体" w:hAnsi="宋体" w:eastAsia="宋体" w:cs="宋体"/>
              </w:rPr>
            </w:pPr>
            <w:r>
              <w:rPr>
                <w:rFonts w:hint="eastAsia" w:ascii="宋体" w:hAnsi="宋体" w:eastAsia="宋体" w:cs="宋体"/>
              </w:rPr>
              <w:t>字典管理：</w:t>
            </w:r>
          </w:p>
          <w:p w14:paraId="4C51EEEF">
            <w:pPr>
              <w:numPr>
                <w:ilvl w:val="0"/>
                <w:numId w:val="22"/>
              </w:numPr>
              <w:rPr>
                <w:rFonts w:hint="eastAsia" w:ascii="宋体" w:hAnsi="宋体" w:eastAsia="宋体" w:cs="宋体"/>
              </w:rPr>
            </w:pPr>
            <w:r>
              <w:rPr>
                <w:rFonts w:hint="eastAsia" w:ascii="宋体" w:hAnsi="宋体" w:eastAsia="宋体" w:cs="宋体"/>
              </w:rPr>
              <w:t>诊断编码：系统预置国家临床版2.0疾病诊断编码（ICD-10）以及医保疾病诊断分类与代码ICD10（2.0版），应用于首页诊断信息填写。</w:t>
            </w:r>
          </w:p>
          <w:p w14:paraId="47707B7A">
            <w:pPr>
              <w:numPr>
                <w:ilvl w:val="0"/>
                <w:numId w:val="22"/>
              </w:numPr>
              <w:rPr>
                <w:rFonts w:hint="eastAsia" w:ascii="宋体" w:hAnsi="宋体" w:eastAsia="宋体" w:cs="宋体"/>
              </w:rPr>
            </w:pPr>
            <w:r>
              <w:rPr>
                <w:rFonts w:hint="eastAsia" w:ascii="宋体" w:hAnsi="宋体" w:eastAsia="宋体" w:cs="宋体"/>
              </w:rPr>
              <w:t>手术编码：系统预置国家临床版3.0手术操作分类代码编码（ICD-9-CM3）以及医保手术操作分类与代码ICD9-CM3（2.0版），应用于首页手术信息填写。支持对手术编码进行维护管理，包含手术编码、手术名称、拼音码、停用/启用状态等，支持编辑修改、新增及手动导入、编码对照等。</w:t>
            </w:r>
          </w:p>
        </w:tc>
      </w:tr>
      <w:tr w14:paraId="00CD6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1" w:hRule="atLeast"/>
          <w:jc w:val="center"/>
        </w:trPr>
        <w:tc>
          <w:tcPr>
            <w:tcW w:w="1306" w:type="dxa"/>
            <w:vMerge w:val="continue"/>
            <w:vAlign w:val="center"/>
          </w:tcPr>
          <w:p w14:paraId="368B6A95">
            <w:pPr>
              <w:pStyle w:val="41"/>
              <w:ind w:left="0" w:firstLine="0"/>
              <w:rPr>
                <w:rFonts w:hint="eastAsia" w:ascii="宋体" w:hAnsi="宋体" w:eastAsia="宋体" w:cs="宋体"/>
              </w:rPr>
            </w:pPr>
            <w:r>
              <w:rPr>
                <w:rFonts w:hint="eastAsia" w:ascii="宋体" w:hAnsi="宋体" w:eastAsia="宋体" w:cs="宋体"/>
              </w:rPr>
              <w:t>ICD11工具</w:t>
            </w:r>
          </w:p>
        </w:tc>
        <w:tc>
          <w:tcPr>
            <w:tcW w:w="7061" w:type="dxa"/>
            <w:tcBorders>
              <w:top w:val="single" w:color="000000" w:sz="4" w:space="0"/>
              <w:left w:val="single" w:color="000000" w:sz="4" w:space="0"/>
              <w:bottom w:val="single" w:color="000000" w:sz="4" w:space="0"/>
              <w:right w:val="single" w:color="000000" w:sz="4" w:space="0"/>
            </w:tcBorders>
            <w:vAlign w:val="center"/>
          </w:tcPr>
          <w:p w14:paraId="49CDDDDB">
            <w:pPr>
              <w:rPr>
                <w:rFonts w:hint="eastAsia" w:ascii="宋体" w:hAnsi="宋体" w:eastAsia="宋体" w:cs="宋体"/>
              </w:rPr>
            </w:pPr>
            <w:r>
              <w:rPr>
                <w:rFonts w:hint="eastAsia" w:ascii="宋体" w:hAnsi="宋体" w:eastAsia="宋体" w:cs="宋体"/>
                <w:sz w:val="24"/>
                <w:szCs w:val="24"/>
              </w:rPr>
              <w:t>★</w:t>
            </w:r>
            <w:r>
              <w:rPr>
                <w:rFonts w:hint="eastAsia" w:ascii="宋体" w:hAnsi="宋体" w:eastAsia="宋体" w:cs="宋体"/>
              </w:rPr>
              <w:t>ICD11工具。对接ICD-11编码工具，满足ICD-11与ICD-10对照、查看功能，满足ICD-11诊断编码录入的功能。</w:t>
            </w:r>
          </w:p>
        </w:tc>
      </w:tr>
    </w:tbl>
    <w:tbl>
      <w:tblPr>
        <w:tblStyle w:val="17"/>
        <w:tblpPr w:leftFromText="180" w:rightFromText="180" w:vertAnchor="text" w:horzAnchor="margin" w:tblpX="-5" w:tblpY="145"/>
        <w:tblW w:w="8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14"/>
        <w:gridCol w:w="906"/>
        <w:gridCol w:w="6180"/>
      </w:tblGrid>
      <w:tr w14:paraId="7CA88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314" w:type="dxa"/>
            <w:vAlign w:val="center"/>
          </w:tcPr>
          <w:p w14:paraId="185DA619">
            <w:pPr>
              <w:spacing w:line="300" w:lineRule="auto"/>
              <w:jc w:val="center"/>
              <w:rPr>
                <w:rFonts w:hint="eastAsia" w:ascii="宋体" w:hAnsi="宋体" w:eastAsia="宋体" w:cs="宋体"/>
                <w:bCs/>
              </w:rPr>
            </w:pPr>
            <w:r>
              <w:rPr>
                <w:rFonts w:hint="eastAsia" w:ascii="宋体" w:hAnsi="宋体" w:eastAsia="宋体" w:cs="宋体"/>
                <w:bCs/>
              </w:rPr>
              <w:t>门诊系统首页</w:t>
            </w:r>
          </w:p>
          <w:p w14:paraId="5C8C8569">
            <w:pPr>
              <w:spacing w:line="300" w:lineRule="auto"/>
              <w:jc w:val="center"/>
              <w:rPr>
                <w:rFonts w:hint="eastAsia" w:ascii="宋体" w:hAnsi="宋体" w:eastAsia="宋体" w:cs="宋体"/>
                <w:bCs/>
              </w:rPr>
            </w:pPr>
          </w:p>
        </w:tc>
        <w:tc>
          <w:tcPr>
            <w:tcW w:w="906" w:type="dxa"/>
            <w:vAlign w:val="center"/>
          </w:tcPr>
          <w:p w14:paraId="2F4B4892">
            <w:pPr>
              <w:spacing w:line="300" w:lineRule="auto"/>
              <w:jc w:val="center"/>
              <w:rPr>
                <w:rFonts w:hint="eastAsia" w:ascii="宋体" w:hAnsi="宋体" w:eastAsia="宋体" w:cs="宋体"/>
                <w:bCs/>
              </w:rPr>
            </w:pPr>
            <w:r>
              <w:rPr>
                <w:rFonts w:hint="eastAsia" w:ascii="宋体" w:hAnsi="宋体" w:eastAsia="宋体" w:cs="宋体"/>
                <w:bCs/>
              </w:rPr>
              <w:t>/</w:t>
            </w:r>
          </w:p>
        </w:tc>
        <w:tc>
          <w:tcPr>
            <w:tcW w:w="6180" w:type="dxa"/>
            <w:vAlign w:val="center"/>
          </w:tcPr>
          <w:p w14:paraId="76A818E8">
            <w:pPr>
              <w:spacing w:line="300" w:lineRule="auto"/>
              <w:rPr>
                <w:rFonts w:hint="eastAsia" w:ascii="宋体" w:hAnsi="宋体" w:eastAsia="宋体" w:cs="宋体"/>
                <w:bCs/>
              </w:rPr>
            </w:pPr>
            <w:r>
              <w:rPr>
                <w:rFonts w:hint="eastAsia" w:ascii="宋体" w:hAnsi="宋体" w:eastAsia="宋体" w:cs="宋体"/>
              </w:rPr>
              <w:t>1、首页显示统计周期内门（急）诊总数及同环比、平</w:t>
            </w:r>
            <w:r>
              <w:rPr>
                <w:rFonts w:hint="eastAsia" w:ascii="宋体" w:hAnsi="宋体" w:eastAsia="宋体" w:cs="宋体"/>
                <w:bCs/>
              </w:rPr>
              <w:t>均医疗费用及同环比、死亡患者数量及同环比、急诊留观数量及同环比等核心指标及分析。</w:t>
            </w:r>
          </w:p>
          <w:p w14:paraId="22FCD1EA">
            <w:pPr>
              <w:numPr>
                <w:ilvl w:val="0"/>
                <w:numId w:val="23"/>
              </w:numPr>
              <w:rPr>
                <w:rFonts w:hint="eastAsia" w:ascii="宋体" w:hAnsi="宋体" w:eastAsia="宋体" w:cs="宋体"/>
              </w:rPr>
            </w:pPr>
            <w:r>
              <w:rPr>
                <w:rFonts w:hint="eastAsia" w:ascii="宋体" w:hAnsi="宋体" w:eastAsia="宋体" w:cs="宋体"/>
                <w:bCs/>
              </w:rPr>
              <w:t>以面积图展示全院门（急）诊量趋势情况，支持按日、按月、按年进行展示</w:t>
            </w:r>
            <w:r>
              <w:rPr>
                <w:rFonts w:hint="eastAsia" w:ascii="宋体" w:hAnsi="宋体" w:eastAsia="宋体" w:cs="宋体"/>
                <w:bCs/>
                <w:lang w:eastAsia="zh-CN"/>
              </w:rPr>
              <w:t>，</w:t>
            </w:r>
            <w:r>
              <w:rPr>
                <w:rFonts w:hint="eastAsia" w:ascii="宋体" w:hAnsi="宋体" w:eastAsia="宋体" w:cs="宋体"/>
                <w:bCs/>
                <w:lang w:val="en-US" w:eastAsia="zh-CN"/>
              </w:rPr>
              <w:t>以及人流密集度情况</w:t>
            </w:r>
            <w:r>
              <w:rPr>
                <w:rFonts w:hint="eastAsia" w:ascii="宋体" w:hAnsi="宋体" w:eastAsia="宋体" w:cs="宋体"/>
                <w:bCs/>
              </w:rPr>
              <w:t>。</w:t>
            </w:r>
          </w:p>
          <w:p w14:paraId="515B2162">
            <w:pPr>
              <w:pStyle w:val="41"/>
              <w:ind w:left="0" w:firstLine="0"/>
              <w:rPr>
                <w:rFonts w:hint="eastAsia" w:ascii="宋体" w:hAnsi="宋体" w:eastAsia="宋体" w:cs="宋体"/>
              </w:rPr>
            </w:pPr>
            <w:r>
              <w:rPr>
                <w:rFonts w:hint="eastAsia" w:ascii="宋体" w:hAnsi="宋体" w:eastAsia="宋体" w:cs="宋体"/>
                <w:bCs/>
                <w:szCs w:val="24"/>
              </w:rPr>
              <w:t>3、按门诊量进行排名，显示门诊量排名前十的就诊医师和对应的门诊量等。</w:t>
            </w:r>
          </w:p>
        </w:tc>
      </w:tr>
      <w:tr w14:paraId="66BF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314" w:type="dxa"/>
            <w:vMerge w:val="restart"/>
            <w:vAlign w:val="center"/>
          </w:tcPr>
          <w:p w14:paraId="610B4DCA">
            <w:pPr>
              <w:rPr>
                <w:rFonts w:hint="eastAsia" w:ascii="宋体" w:hAnsi="宋体" w:eastAsia="宋体" w:cs="宋体"/>
              </w:rPr>
            </w:pPr>
            <w:r>
              <w:rPr>
                <w:rFonts w:hint="eastAsia" w:ascii="宋体" w:hAnsi="宋体" w:eastAsia="宋体" w:cs="宋体"/>
              </w:rPr>
              <w:t>门（急）诊诊疗信息页详情页</w:t>
            </w:r>
          </w:p>
        </w:tc>
        <w:tc>
          <w:tcPr>
            <w:tcW w:w="906" w:type="dxa"/>
            <w:vAlign w:val="center"/>
          </w:tcPr>
          <w:p w14:paraId="5DE4B749">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数据详情</w:t>
            </w:r>
          </w:p>
        </w:tc>
        <w:tc>
          <w:tcPr>
            <w:tcW w:w="6180" w:type="dxa"/>
            <w:vAlign w:val="center"/>
          </w:tcPr>
          <w:p w14:paraId="0A52859A">
            <w:pPr>
              <w:pStyle w:val="41"/>
              <w:spacing w:line="300" w:lineRule="auto"/>
              <w:ind w:left="0" w:firstLine="0"/>
              <w:rPr>
                <w:rFonts w:hint="eastAsia" w:ascii="宋体" w:hAnsi="宋体" w:eastAsia="宋体" w:cs="宋体"/>
                <w:bCs/>
                <w:szCs w:val="24"/>
              </w:rPr>
            </w:pPr>
            <w:r>
              <w:rPr>
                <w:rFonts w:hint="eastAsia" w:ascii="宋体" w:hAnsi="宋体" w:eastAsia="宋体" w:cs="宋体"/>
              </w:rPr>
              <w:t>支持点击【查看】按钮，进入门（急）诊病案诊疗信息页查看页面。</w:t>
            </w:r>
            <w:r>
              <w:rPr>
                <w:rFonts w:hint="eastAsia" w:ascii="宋体" w:hAnsi="宋体" w:eastAsia="宋体" w:cs="宋体"/>
                <w:bCs/>
                <w:szCs w:val="24"/>
              </w:rPr>
              <w:t>门（急）诊诊疗信息页主要包括：患者基本信息、诊疗信息、就诊过程信息、费用信息等部分。</w:t>
            </w:r>
          </w:p>
          <w:p w14:paraId="5FACA074">
            <w:pPr>
              <w:rPr>
                <w:rFonts w:hint="eastAsia" w:ascii="宋体" w:hAnsi="宋体" w:eastAsia="宋体" w:cs="宋体"/>
              </w:rPr>
            </w:pPr>
            <w:r>
              <w:rPr>
                <w:rFonts w:hint="eastAsia" w:ascii="宋体" w:hAnsi="宋体" w:eastAsia="宋体" w:cs="宋体"/>
                <w:bCs/>
              </w:rPr>
              <w:t>1.患者基本信息包括：</w:t>
            </w:r>
            <w:r>
              <w:rPr>
                <w:rFonts w:hint="eastAsia" w:ascii="宋体" w:hAnsi="宋体" w:eastAsia="宋体" w:cs="宋体"/>
              </w:rPr>
              <w:t>就诊卡号或病案号、姓名、性别、出生日期、婚姻状态、国籍、民族、证件类型、证件号码、现住址、联系电话、药物过敏史、过敏药物、其他过敏史、其他过敏原。</w:t>
            </w:r>
          </w:p>
          <w:p w14:paraId="19732733">
            <w:pPr>
              <w:rPr>
                <w:rFonts w:hint="eastAsia" w:ascii="宋体" w:hAnsi="宋体" w:eastAsia="宋体" w:cs="宋体"/>
              </w:rPr>
            </w:pPr>
            <w:r>
              <w:rPr>
                <w:rFonts w:hint="eastAsia" w:ascii="宋体" w:hAnsi="宋体" w:eastAsia="宋体" w:cs="宋体"/>
                <w:bCs/>
              </w:rPr>
              <w:t>2.就诊过程信息包括：</w:t>
            </w:r>
            <w:r>
              <w:rPr>
                <w:rFonts w:hint="eastAsia" w:ascii="宋体" w:hAnsi="宋体" w:eastAsia="宋体" w:cs="宋体"/>
              </w:rPr>
              <w:t>医院名称、统一社会信用代码、挂号时间、报到时间、就诊时间、就诊科室、接诊医师、接诊医师职称、就诊类型、是否复诊、是否输液、是否为门诊慢特病患者、急诊患者分级、急诊患者去向、住院证开具时间</w:t>
            </w:r>
          </w:p>
          <w:p w14:paraId="6DA2B031">
            <w:pPr>
              <w:rPr>
                <w:rFonts w:hint="eastAsia" w:ascii="宋体" w:hAnsi="宋体" w:eastAsia="宋体" w:cs="宋体"/>
              </w:rPr>
            </w:pPr>
            <w:r>
              <w:rPr>
                <w:rFonts w:hint="eastAsia" w:ascii="宋体" w:hAnsi="宋体" w:eastAsia="宋体" w:cs="宋体"/>
              </w:rPr>
              <w:t>3.诊疗信息包括：患者主诉、门（急）诊主要诊断、门（急）诊主要诊断编码、门（急）诊其他诊断、门（急）诊其他诊断编码、手术及操作日期、手术及操作名称、手术及操作编码、手术及操作者、麻醉方式、麻醉医师、手术分级管理级别。</w:t>
            </w:r>
          </w:p>
          <w:p w14:paraId="01E8FC52">
            <w:pPr>
              <w:rPr>
                <w:rFonts w:hint="eastAsia" w:ascii="宋体" w:hAnsi="宋体" w:eastAsia="宋体" w:cs="宋体"/>
              </w:rPr>
            </w:pPr>
            <w:r>
              <w:rPr>
                <w:rFonts w:hint="eastAsia" w:ascii="宋体" w:hAnsi="宋体" w:eastAsia="宋体" w:cs="宋体"/>
              </w:rPr>
              <w:t>4.费用信息包括：门（急）诊总费用、其中，自付金额、一般医疗服务费、一般治疗操作费、护理费、综合医疗服务类其他费用、病理诊断费、实验室诊断费、影像学诊断费、临床诊断项目费、非手术治疗项目费、其中：临床物理治疗费、手术治疗费、其中：麻醉费、其中：手术费、康复费、中医治疗费、西药费、其中：抗菌药物费用、中成药费、中草药费、血费、白蛋白类制品费、球蛋白类制品费、凝血因子类制品费、细胞因子类制品费、检查用一次性医用材料费、治疗用一次性医用材料费、手术用一次性医用材料费、其他费。</w:t>
            </w:r>
          </w:p>
          <w:p w14:paraId="1DF84A33">
            <w:pPr>
              <w:rPr>
                <w:rFonts w:hint="eastAsia" w:ascii="宋体" w:hAnsi="宋体" w:eastAsia="宋体" w:cs="宋体"/>
              </w:rPr>
            </w:pPr>
            <w:r>
              <w:rPr>
                <w:rFonts w:hint="eastAsia" w:ascii="宋体" w:hAnsi="宋体" w:eastAsia="宋体" w:cs="宋体"/>
              </w:rPr>
              <w:t>5、费用信息（中医）包括：总费用、其中，自付金额、一般医疗服务费、一般治疗操作费、护理费、综合医疗服务类其他费用、病理诊断费、实验室诊断费、影像学诊断费、临床诊断项目费、非手术治疗项目费、包括:临床物理治疗费;手术治疗费、包括:麻醉费、手术费;康复费、中医类中医诊断费、中医治疗费包括中医治疗费、中医外治、中医骨伤、针刺与灸法、中医推拿治疗、中医肛肠治疗、中医特殊治疗;中医其他，包括:中医特殊调配加工、辨证施膳;西药费，包括:抗菌药物费用;中成药费，包括医疗机构中药制剂费;中草药费，包括:配方颗粒费;血费、白蛋白类制品费、球蛋白类制品费、凝血因子类制品费、细胞因子类制品费、检查用一次性医用材料费治疗用一次性医用材料费、手术用一次性医用材料费、其他费等。</w:t>
            </w:r>
          </w:p>
          <w:p w14:paraId="6AB6F2D4">
            <w:pPr>
              <w:rPr>
                <w:rFonts w:hint="eastAsia" w:ascii="宋体" w:hAnsi="宋体" w:eastAsia="宋体" w:cs="宋体"/>
              </w:rPr>
            </w:pPr>
            <w:r>
              <w:rPr>
                <w:rFonts w:hint="eastAsia" w:ascii="宋体" w:hAnsi="宋体" w:eastAsia="宋体" w:cs="宋体"/>
              </w:rPr>
              <w:t>6.中医附页:字段包括中医诊断疾病编码、中医诊断疾病名称、中医诊断证候编码、中医诊断证候名称、中医治疗性操作名称(非手术类)、中医治疗性操作编码(非手术类)、中医治疗性操作次数、中医治疗性操作天数、是否使用西药、是否使用中成药、是否使用中药制剂、是否使用传统饮片、是否使用配方颗粒、中草药类别、药物使用途径代码、药物使用途径名称、用药剂数等。</w:t>
            </w:r>
          </w:p>
        </w:tc>
      </w:tr>
      <w:tr w14:paraId="45C95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84" w:hRule="atLeast"/>
        </w:trPr>
        <w:tc>
          <w:tcPr>
            <w:tcW w:w="1314" w:type="dxa"/>
            <w:vMerge w:val="continue"/>
            <w:vAlign w:val="center"/>
          </w:tcPr>
          <w:p w14:paraId="46AC8465">
            <w:pPr>
              <w:rPr>
                <w:rFonts w:hint="eastAsia" w:ascii="宋体" w:hAnsi="宋体" w:cs="宋体"/>
              </w:rPr>
            </w:pPr>
          </w:p>
        </w:tc>
        <w:tc>
          <w:tcPr>
            <w:tcW w:w="906" w:type="dxa"/>
            <w:vAlign w:val="center"/>
          </w:tcPr>
          <w:p w14:paraId="322F3E5D">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布局配置</w:t>
            </w:r>
          </w:p>
        </w:tc>
        <w:tc>
          <w:tcPr>
            <w:tcW w:w="6180" w:type="dxa"/>
            <w:vAlign w:val="center"/>
          </w:tcPr>
          <w:p w14:paraId="2FC264A8">
            <w:pPr>
              <w:pStyle w:val="41"/>
              <w:spacing w:line="300" w:lineRule="auto"/>
              <w:ind w:left="0" w:firstLine="0"/>
              <w:rPr>
                <w:rFonts w:hint="eastAsia" w:ascii="宋体" w:hAnsi="宋体" w:eastAsia="宋体" w:cs="宋体"/>
                <w:bCs/>
              </w:rPr>
            </w:pPr>
            <w:r>
              <w:rPr>
                <w:rFonts w:hint="eastAsia" w:ascii="宋体" w:hAnsi="宋体" w:eastAsia="宋体" w:cs="宋体"/>
                <w:bCs/>
                <w:szCs w:val="24"/>
              </w:rPr>
              <w:t>通过拖拽方式实现对门（急）诊诊疗信息页布局进行调整，满足医院实际需求。</w:t>
            </w:r>
          </w:p>
        </w:tc>
      </w:tr>
      <w:tr w14:paraId="27210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16" w:hRule="atLeast"/>
        </w:trPr>
        <w:tc>
          <w:tcPr>
            <w:tcW w:w="1314" w:type="dxa"/>
            <w:vMerge w:val="continue"/>
            <w:vAlign w:val="center"/>
          </w:tcPr>
          <w:p w14:paraId="4AC22452">
            <w:pPr>
              <w:rPr>
                <w:rFonts w:hint="eastAsia" w:ascii="宋体" w:hAnsi="宋体" w:cs="宋体"/>
              </w:rPr>
            </w:pPr>
          </w:p>
        </w:tc>
        <w:tc>
          <w:tcPr>
            <w:tcW w:w="906" w:type="dxa"/>
            <w:vAlign w:val="center"/>
          </w:tcPr>
          <w:p w14:paraId="426D76CF">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模块导航</w:t>
            </w:r>
          </w:p>
        </w:tc>
        <w:tc>
          <w:tcPr>
            <w:tcW w:w="6180" w:type="dxa"/>
            <w:vAlign w:val="center"/>
          </w:tcPr>
          <w:p w14:paraId="1F206ED3">
            <w:pPr>
              <w:spacing w:line="300" w:lineRule="auto"/>
              <w:rPr>
                <w:rFonts w:hint="eastAsia" w:ascii="宋体" w:hAnsi="宋体" w:eastAsia="宋体" w:cs="宋体"/>
                <w:bCs/>
              </w:rPr>
            </w:pPr>
            <w:r>
              <w:rPr>
                <w:rFonts w:hint="eastAsia" w:ascii="宋体" w:hAnsi="宋体" w:eastAsia="宋体" w:cs="宋体"/>
                <w:bCs/>
              </w:rPr>
              <w:t>页面导航模块，帮助用户实现快速定位。</w:t>
            </w:r>
          </w:p>
        </w:tc>
      </w:tr>
      <w:tr w14:paraId="221B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314" w:type="dxa"/>
            <w:vMerge w:val="continue"/>
            <w:vAlign w:val="center"/>
          </w:tcPr>
          <w:p w14:paraId="41648F39">
            <w:pPr>
              <w:rPr>
                <w:rFonts w:hint="eastAsia" w:ascii="宋体" w:hAnsi="宋体" w:cs="宋体"/>
              </w:rPr>
            </w:pPr>
          </w:p>
        </w:tc>
        <w:tc>
          <w:tcPr>
            <w:tcW w:w="906" w:type="dxa"/>
            <w:vAlign w:val="center"/>
          </w:tcPr>
          <w:p w14:paraId="11CC3088">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数据质控</w:t>
            </w:r>
          </w:p>
        </w:tc>
        <w:tc>
          <w:tcPr>
            <w:tcW w:w="6180" w:type="dxa"/>
            <w:vAlign w:val="center"/>
          </w:tcPr>
          <w:p w14:paraId="686DC48D">
            <w:pPr>
              <w:spacing w:line="300" w:lineRule="auto"/>
              <w:rPr>
                <w:rFonts w:hint="eastAsia" w:ascii="宋体" w:hAnsi="宋体" w:eastAsia="宋体" w:cs="宋体"/>
                <w:bCs/>
              </w:rPr>
            </w:pPr>
            <w:r>
              <w:rPr>
                <w:rFonts w:hint="eastAsia" w:ascii="宋体" w:hAnsi="宋体" w:eastAsia="宋体" w:cs="宋体"/>
                <w:bCs/>
              </w:rPr>
              <w:t>系统内置多套规则，基于中/西医数据接口规范实现对门（急）诊诊疗信息页的数据质量进行质控。支持点击规则自动定位到诊疗信息页的错误字段处。</w:t>
            </w:r>
          </w:p>
        </w:tc>
      </w:tr>
      <w:tr w14:paraId="5F84C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314" w:type="dxa"/>
            <w:vMerge w:val="continue"/>
            <w:vAlign w:val="center"/>
          </w:tcPr>
          <w:p w14:paraId="6A71FDC8">
            <w:pPr>
              <w:rPr>
                <w:rFonts w:hint="eastAsia" w:ascii="宋体" w:hAnsi="宋体" w:cs="宋体"/>
              </w:rPr>
            </w:pPr>
          </w:p>
        </w:tc>
        <w:tc>
          <w:tcPr>
            <w:tcW w:w="906" w:type="dxa"/>
            <w:vAlign w:val="center"/>
          </w:tcPr>
          <w:p w14:paraId="282775A4">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打印</w:t>
            </w:r>
          </w:p>
        </w:tc>
        <w:tc>
          <w:tcPr>
            <w:tcW w:w="6180" w:type="dxa"/>
            <w:vAlign w:val="center"/>
          </w:tcPr>
          <w:p w14:paraId="79C8B62E">
            <w:pPr>
              <w:spacing w:line="300" w:lineRule="auto"/>
              <w:rPr>
                <w:rFonts w:hint="eastAsia" w:ascii="宋体" w:hAnsi="宋体" w:eastAsia="宋体" w:cs="宋体"/>
                <w:bCs/>
              </w:rPr>
            </w:pPr>
            <w:r>
              <w:rPr>
                <w:rFonts w:hint="eastAsia" w:ascii="宋体" w:hAnsi="宋体" w:eastAsia="宋体" w:cs="宋体"/>
                <w:bCs/>
              </w:rPr>
              <w:t>支持按照国家统一页面规范样式进行中/西医门（急）诊诊疗信息页的打印。支持自定义打印。</w:t>
            </w:r>
          </w:p>
        </w:tc>
      </w:tr>
      <w:tr w14:paraId="774E7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314" w:type="dxa"/>
            <w:vMerge w:val="restart"/>
            <w:vAlign w:val="center"/>
          </w:tcPr>
          <w:p w14:paraId="3D9D65CC">
            <w:pPr>
              <w:spacing w:line="300" w:lineRule="auto"/>
              <w:jc w:val="center"/>
              <w:rPr>
                <w:rFonts w:hint="eastAsia" w:ascii="宋体" w:hAnsi="宋体" w:eastAsia="宋体" w:cs="宋体"/>
                <w:bCs/>
              </w:rPr>
            </w:pPr>
            <w:r>
              <w:rPr>
                <w:rFonts w:hint="eastAsia" w:ascii="宋体" w:hAnsi="宋体" w:eastAsia="宋体" w:cs="宋体"/>
                <w:bCs/>
              </w:rPr>
              <w:t>门诊患者管理</w:t>
            </w:r>
          </w:p>
        </w:tc>
        <w:tc>
          <w:tcPr>
            <w:tcW w:w="906" w:type="dxa"/>
            <w:vAlign w:val="center"/>
          </w:tcPr>
          <w:p w14:paraId="2B7FFDDA">
            <w:pPr>
              <w:spacing w:line="300" w:lineRule="auto"/>
              <w:rPr>
                <w:rFonts w:hint="eastAsia" w:ascii="宋体" w:hAnsi="宋体" w:eastAsia="宋体" w:cs="宋体"/>
                <w:bCs/>
              </w:rPr>
            </w:pPr>
            <w:r>
              <w:rPr>
                <w:rFonts w:hint="eastAsia" w:ascii="宋体" w:hAnsi="宋体" w:eastAsia="宋体" w:cs="宋体"/>
                <w:bCs/>
              </w:rPr>
              <w:t>门诊患者管理</w:t>
            </w:r>
          </w:p>
        </w:tc>
        <w:tc>
          <w:tcPr>
            <w:tcW w:w="6180" w:type="dxa"/>
            <w:vAlign w:val="center"/>
          </w:tcPr>
          <w:p w14:paraId="51B23376">
            <w:pPr>
              <w:spacing w:line="300" w:lineRule="auto"/>
              <w:rPr>
                <w:rFonts w:hint="eastAsia" w:ascii="宋体" w:hAnsi="宋体" w:eastAsia="宋体" w:cs="宋体"/>
                <w:bCs/>
              </w:rPr>
            </w:pPr>
            <w:r>
              <w:rPr>
                <w:rFonts w:hint="eastAsia" w:ascii="宋体" w:hAnsi="宋体" w:eastAsia="宋体" w:cs="宋体"/>
                <w:bCs/>
              </w:rPr>
              <w:t>1.简单检索：实现按就诊卡号、姓名、证件号码、就诊时间、就诊科室、就诊医师、主要诊断、主要手术、是否复诊、急诊患者去向等进行检索，以便快速定位到特定患者。</w:t>
            </w:r>
          </w:p>
          <w:p w14:paraId="5A65D1D2">
            <w:pPr>
              <w:pStyle w:val="41"/>
              <w:ind w:left="0" w:firstLine="0"/>
              <w:rPr>
                <w:rFonts w:hint="eastAsia" w:hAnsi="宋体" w:cs="宋体"/>
              </w:rPr>
            </w:pPr>
            <w:r>
              <w:rPr>
                <w:rFonts w:hint="eastAsia" w:hAnsi="宋体" w:cs="宋体"/>
              </w:rPr>
              <w:t>2.模糊检索：如</w:t>
            </w:r>
            <w:r>
              <w:rPr>
                <w:rFonts w:hint="eastAsia" w:ascii="宋体" w:hAnsi="宋体" w:eastAsia="宋体" w:cs="宋体"/>
                <w:bCs/>
                <w:szCs w:val="24"/>
              </w:rPr>
              <w:t>姓名、就诊科室、就诊医生</w:t>
            </w:r>
            <w:r>
              <w:rPr>
                <w:rFonts w:hint="eastAsia" w:ascii="宋体" w:hAnsi="宋体" w:eastAsia="宋体" w:cs="宋体"/>
                <w:bCs/>
                <w:szCs w:val="24"/>
                <w:lang w:eastAsia="zh-CN"/>
              </w:rPr>
              <w:t>、</w:t>
            </w:r>
            <w:r>
              <w:rPr>
                <w:rFonts w:hint="eastAsia" w:ascii="宋体" w:hAnsi="宋体" w:eastAsia="宋体" w:cs="宋体"/>
                <w:bCs/>
                <w:szCs w:val="24"/>
                <w:lang w:val="en-US" w:eastAsia="zh-CN"/>
              </w:rPr>
              <w:t>电话号码</w:t>
            </w:r>
            <w:r>
              <w:rPr>
                <w:rFonts w:hint="eastAsia" w:ascii="宋体" w:hAnsi="宋体" w:eastAsia="宋体" w:cs="宋体"/>
                <w:bCs/>
                <w:szCs w:val="24"/>
              </w:rPr>
              <w:t>等实现模糊检索功能。检索方式灵活，搜索结果更加全面、准确。</w:t>
            </w:r>
          </w:p>
        </w:tc>
      </w:tr>
      <w:tr w14:paraId="0D8E6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9" w:hRule="atLeast"/>
        </w:trPr>
        <w:tc>
          <w:tcPr>
            <w:tcW w:w="1314" w:type="dxa"/>
            <w:vMerge w:val="continue"/>
            <w:vAlign w:val="center"/>
          </w:tcPr>
          <w:p w14:paraId="4507F0E2">
            <w:pPr>
              <w:pStyle w:val="41"/>
              <w:spacing w:line="300" w:lineRule="auto"/>
              <w:ind w:left="0" w:firstLine="0"/>
              <w:rPr>
                <w:rFonts w:hint="eastAsia" w:ascii="宋体" w:hAnsi="宋体" w:eastAsia="宋体" w:cs="宋体"/>
                <w:bCs/>
                <w:szCs w:val="24"/>
              </w:rPr>
            </w:pPr>
          </w:p>
        </w:tc>
        <w:tc>
          <w:tcPr>
            <w:tcW w:w="906" w:type="dxa"/>
            <w:vAlign w:val="center"/>
          </w:tcPr>
          <w:p w14:paraId="140ADEED">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列表自定义配置</w:t>
            </w:r>
          </w:p>
        </w:tc>
        <w:tc>
          <w:tcPr>
            <w:tcW w:w="6180" w:type="dxa"/>
            <w:vAlign w:val="center"/>
          </w:tcPr>
          <w:p w14:paraId="5C9A9DC8">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列表显示以下内容，包括但不限于：就诊卡号、姓名、性别、就诊时间、出生日期、年龄、婚姻、就诊科室、接诊医师、主要诊断编码及名称、主要手术编码及名称、就诊类型、挂号时间、是否复诊、证件号码、患者电话、过敏史、过敏药物、是否为门诊慢特病患者、急诊患者分级、急诊患者去向</w:t>
            </w:r>
            <w:r>
              <w:rPr>
                <w:rFonts w:hint="eastAsia" w:ascii="宋体" w:hAnsi="宋体" w:eastAsia="宋体" w:cs="宋体"/>
                <w:bCs/>
                <w:szCs w:val="24"/>
                <w:lang w:eastAsia="zh-CN"/>
              </w:rPr>
              <w:t>、</w:t>
            </w:r>
            <w:r>
              <w:rPr>
                <w:rFonts w:hint="eastAsia" w:ascii="宋体" w:hAnsi="宋体" w:eastAsia="宋体" w:cs="宋体"/>
                <w:bCs/>
                <w:szCs w:val="24"/>
                <w:lang w:val="en-US" w:eastAsia="zh-CN"/>
              </w:rPr>
              <w:t>患者来源地</w:t>
            </w:r>
            <w:r>
              <w:rPr>
                <w:rFonts w:hint="eastAsia" w:ascii="宋体" w:hAnsi="宋体" w:eastAsia="宋体" w:cs="宋体"/>
                <w:bCs/>
                <w:szCs w:val="24"/>
              </w:rPr>
              <w:t>等。</w:t>
            </w:r>
          </w:p>
          <w:p w14:paraId="4A56D0FD">
            <w:pPr>
              <w:pStyle w:val="41"/>
              <w:spacing w:line="300" w:lineRule="auto"/>
              <w:ind w:left="0" w:firstLine="0"/>
              <w:rPr>
                <w:rFonts w:hint="eastAsia" w:ascii="宋体" w:hAnsi="宋体" w:eastAsia="宋体" w:cs="宋体"/>
                <w:bCs/>
              </w:rPr>
            </w:pPr>
            <w:r>
              <w:rPr>
                <w:rFonts w:hint="eastAsia" w:ascii="宋体" w:hAnsi="宋体" w:eastAsia="宋体" w:cs="宋体"/>
                <w:bCs/>
                <w:szCs w:val="24"/>
              </w:rPr>
              <w:t>2.列表字段自定义排序：默认实现按照患者的就诊时间、就诊卡号等字段进行排序，支持通过列字段拖拽方式改变列表字段顺序，以满足不同查看需求。</w:t>
            </w:r>
          </w:p>
        </w:tc>
      </w:tr>
      <w:tr w14:paraId="36D0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314" w:type="dxa"/>
            <w:vMerge w:val="continue"/>
            <w:vAlign w:val="center"/>
          </w:tcPr>
          <w:p w14:paraId="58C96064">
            <w:pPr>
              <w:pStyle w:val="41"/>
              <w:spacing w:line="300" w:lineRule="auto"/>
              <w:ind w:left="0" w:firstLine="0"/>
              <w:rPr>
                <w:rFonts w:hint="eastAsia" w:ascii="宋体" w:hAnsi="宋体" w:eastAsia="宋体" w:cs="宋体"/>
                <w:bCs/>
                <w:szCs w:val="24"/>
              </w:rPr>
            </w:pPr>
          </w:p>
        </w:tc>
        <w:tc>
          <w:tcPr>
            <w:tcW w:w="906" w:type="dxa"/>
            <w:vAlign w:val="center"/>
          </w:tcPr>
          <w:p w14:paraId="056FD5C4">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列表刷新</w:t>
            </w:r>
          </w:p>
        </w:tc>
        <w:tc>
          <w:tcPr>
            <w:tcW w:w="6180" w:type="dxa"/>
            <w:vAlign w:val="center"/>
          </w:tcPr>
          <w:p w14:paraId="4F975E82">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列表数据支持手动刷新数据，保证数据准确性。</w:t>
            </w:r>
          </w:p>
        </w:tc>
      </w:tr>
      <w:tr w14:paraId="19B85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314" w:type="dxa"/>
            <w:vMerge w:val="continue"/>
            <w:vAlign w:val="center"/>
          </w:tcPr>
          <w:p w14:paraId="6E7D059C">
            <w:pPr>
              <w:pStyle w:val="41"/>
              <w:spacing w:line="300" w:lineRule="auto"/>
              <w:ind w:left="0" w:firstLine="0"/>
              <w:rPr>
                <w:rFonts w:hint="eastAsia" w:ascii="宋体" w:hAnsi="宋体" w:eastAsia="宋体" w:cs="宋体"/>
                <w:bCs/>
                <w:szCs w:val="24"/>
              </w:rPr>
            </w:pPr>
          </w:p>
        </w:tc>
        <w:tc>
          <w:tcPr>
            <w:tcW w:w="906" w:type="dxa"/>
            <w:vAlign w:val="center"/>
          </w:tcPr>
          <w:p w14:paraId="06AD1156">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列表导出</w:t>
            </w:r>
          </w:p>
        </w:tc>
        <w:tc>
          <w:tcPr>
            <w:tcW w:w="6180" w:type="dxa"/>
            <w:vAlign w:val="center"/>
          </w:tcPr>
          <w:p w14:paraId="3309E010">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列表数据导出EXCEL格式。</w:t>
            </w:r>
          </w:p>
        </w:tc>
      </w:tr>
      <w:tr w14:paraId="6CA7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314" w:type="dxa"/>
            <w:vMerge w:val="continue"/>
            <w:vAlign w:val="center"/>
          </w:tcPr>
          <w:p w14:paraId="5F35F5A2">
            <w:pPr>
              <w:pStyle w:val="41"/>
              <w:spacing w:line="300" w:lineRule="auto"/>
              <w:ind w:left="0" w:firstLine="0"/>
              <w:rPr>
                <w:rFonts w:hint="eastAsia" w:ascii="宋体" w:hAnsi="宋体" w:eastAsia="宋体" w:cs="宋体"/>
                <w:bCs/>
                <w:szCs w:val="24"/>
              </w:rPr>
            </w:pPr>
          </w:p>
        </w:tc>
        <w:tc>
          <w:tcPr>
            <w:tcW w:w="906" w:type="dxa"/>
            <w:vAlign w:val="center"/>
          </w:tcPr>
          <w:p w14:paraId="70B9CAD0">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复合检索</w:t>
            </w:r>
          </w:p>
        </w:tc>
        <w:tc>
          <w:tcPr>
            <w:tcW w:w="6180" w:type="dxa"/>
            <w:vAlign w:val="center"/>
          </w:tcPr>
          <w:p w14:paraId="7B5A8384">
            <w:pPr>
              <w:rPr>
                <w:rFonts w:hint="eastAsia" w:ascii="宋体" w:hAnsi="宋体" w:cs="宋体"/>
              </w:rPr>
            </w:pPr>
            <w:r>
              <w:rPr>
                <w:rFonts w:hint="eastAsia" w:ascii="宋体" w:hAnsi="宋体" w:eastAsia="宋体" w:cs="宋体"/>
                <w:bCs/>
              </w:rPr>
              <w:t>1．支持自定义组合不同的门（急）诊诊疗信息页数据项作为查询条件进行查询，查询方式至少包括：等于/不等于、包含/不包含、大于、大于或等于、小于、小于或等于。</w:t>
            </w:r>
            <w:r>
              <w:rPr>
                <w:rFonts w:hint="eastAsia" w:ascii="宋体" w:hAnsi="宋体" w:eastAsia="宋体" w:cs="宋体"/>
                <w:bCs/>
              </w:rPr>
              <w:br w:type="textWrapping"/>
            </w:r>
            <w:r>
              <w:rPr>
                <w:rFonts w:hint="eastAsia" w:ascii="宋体" w:hAnsi="宋体" w:eastAsia="宋体" w:cs="宋体"/>
                <w:bCs/>
              </w:rPr>
              <w:t>2．支持对主要诊断/其他诊断/所有诊断、主要手术/其他手术/所有手术进行单编码或者编码范围进行查询。</w:t>
            </w:r>
            <w:r>
              <w:rPr>
                <w:rFonts w:hint="eastAsia" w:ascii="宋体" w:hAnsi="宋体" w:eastAsia="宋体" w:cs="宋体"/>
                <w:bCs/>
              </w:rPr>
              <w:br w:type="textWrapping"/>
            </w:r>
            <w:r>
              <w:rPr>
                <w:rFonts w:hint="eastAsia" w:ascii="宋体" w:hAnsi="宋体" w:eastAsia="宋体" w:cs="宋体"/>
                <w:bCs/>
              </w:rPr>
              <w:t>3．支持复合检索配置功能。查询模板的自定义，并支持置顶、复制、设为公共模板、重命名、删除等操作；满足查询列自定义配置功能，支持快捷选取勾选列表显示字段。</w:t>
            </w:r>
          </w:p>
        </w:tc>
      </w:tr>
      <w:tr w14:paraId="7BDE1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9" w:hRule="atLeast"/>
        </w:trPr>
        <w:tc>
          <w:tcPr>
            <w:tcW w:w="1314" w:type="dxa"/>
            <w:vMerge w:val="continue"/>
            <w:vAlign w:val="center"/>
          </w:tcPr>
          <w:p w14:paraId="08DE8BA1">
            <w:pPr>
              <w:pStyle w:val="41"/>
              <w:spacing w:line="300" w:lineRule="auto"/>
              <w:ind w:left="0" w:firstLine="0"/>
              <w:rPr>
                <w:rFonts w:hint="eastAsia" w:ascii="宋体" w:hAnsi="宋体" w:eastAsia="宋体" w:cs="宋体"/>
                <w:bCs/>
                <w:szCs w:val="24"/>
              </w:rPr>
            </w:pPr>
          </w:p>
        </w:tc>
        <w:tc>
          <w:tcPr>
            <w:tcW w:w="906" w:type="dxa"/>
            <w:vAlign w:val="center"/>
          </w:tcPr>
          <w:p w14:paraId="1C224B9D">
            <w:pPr>
              <w:rPr>
                <w:rFonts w:hint="eastAsia" w:ascii="宋体" w:hAnsi="宋体" w:eastAsia="宋体" w:cs="宋体"/>
                <w:bCs/>
              </w:rPr>
            </w:pPr>
            <w:r>
              <w:rPr>
                <w:rFonts w:hint="eastAsia" w:ascii="宋体" w:hAnsi="宋体" w:cs="宋体"/>
              </w:rPr>
              <w:t>SQL查询分析器</w:t>
            </w:r>
          </w:p>
        </w:tc>
        <w:tc>
          <w:tcPr>
            <w:tcW w:w="6180" w:type="dxa"/>
            <w:vAlign w:val="center"/>
          </w:tcPr>
          <w:p w14:paraId="14643016">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提供</w:t>
            </w:r>
            <w:r>
              <w:rPr>
                <w:rFonts w:hint="eastAsia" w:ascii="宋体" w:hAnsi="宋体" w:eastAsia="宋体" w:cs="宋体"/>
                <w:bCs/>
                <w:szCs w:val="24"/>
                <w:lang w:val="en-US" w:eastAsia="zh-CN"/>
              </w:rPr>
              <w:t>SQL</w:t>
            </w:r>
            <w:r>
              <w:rPr>
                <w:rFonts w:hint="eastAsia" w:ascii="宋体" w:hAnsi="宋体" w:eastAsia="宋体" w:cs="宋体"/>
                <w:bCs/>
                <w:szCs w:val="24"/>
              </w:rPr>
              <w:t>查询功能，满足数据查询的业务需求。</w:t>
            </w:r>
            <w:r>
              <w:rPr>
                <w:rFonts w:hint="eastAsia" w:ascii="宋体" w:hAnsi="宋体" w:eastAsia="宋体" w:cs="宋体"/>
                <w:bCs/>
                <w:szCs w:val="24"/>
              </w:rPr>
              <w:br w:type="textWrapping"/>
            </w:r>
            <w:r>
              <w:rPr>
                <w:rFonts w:hint="eastAsia" w:ascii="宋体" w:hAnsi="宋体" w:eastAsia="宋体" w:cs="宋体"/>
                <w:bCs/>
                <w:szCs w:val="24"/>
              </w:rPr>
              <w:t>提供历史执行语句功能，系统存储历史查询语句，支持对历史语句进行复制、收藏和复用等操作</w:t>
            </w:r>
          </w:p>
        </w:tc>
      </w:tr>
      <w:tr w14:paraId="5F70A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restart"/>
            <w:vAlign w:val="center"/>
          </w:tcPr>
          <w:p w14:paraId="7B461AC3">
            <w:pPr>
              <w:pStyle w:val="41"/>
              <w:spacing w:line="300" w:lineRule="auto"/>
              <w:ind w:left="0" w:firstLine="0"/>
              <w:rPr>
                <w:rFonts w:hint="eastAsia" w:ascii="宋体" w:hAnsi="宋体" w:eastAsia="宋体" w:cs="宋体"/>
                <w:bCs/>
                <w:szCs w:val="24"/>
              </w:rPr>
            </w:pPr>
          </w:p>
          <w:p w14:paraId="5BCE49DE">
            <w:pPr>
              <w:pStyle w:val="41"/>
              <w:spacing w:line="300" w:lineRule="auto"/>
              <w:ind w:left="0" w:firstLine="0"/>
              <w:rPr>
                <w:rFonts w:hint="eastAsia" w:ascii="宋体" w:hAnsi="宋体" w:eastAsia="宋体" w:cs="宋体"/>
                <w:bCs/>
                <w:szCs w:val="24"/>
              </w:rPr>
            </w:pPr>
          </w:p>
          <w:p w14:paraId="5783BCF9">
            <w:pPr>
              <w:pStyle w:val="41"/>
              <w:spacing w:line="300" w:lineRule="auto"/>
              <w:ind w:left="0" w:firstLine="0"/>
              <w:rPr>
                <w:rFonts w:hint="eastAsia" w:ascii="宋体" w:hAnsi="宋体" w:eastAsia="宋体" w:cs="宋体"/>
                <w:bCs/>
                <w:szCs w:val="24"/>
              </w:rPr>
            </w:pPr>
          </w:p>
          <w:p w14:paraId="4CC91A3B">
            <w:pPr>
              <w:pStyle w:val="41"/>
              <w:spacing w:line="300" w:lineRule="auto"/>
              <w:ind w:left="0" w:firstLine="0"/>
              <w:rPr>
                <w:rFonts w:hint="eastAsia" w:ascii="宋体" w:hAnsi="宋体" w:eastAsia="宋体" w:cs="宋体"/>
                <w:bCs/>
                <w:szCs w:val="24"/>
              </w:rPr>
            </w:pPr>
          </w:p>
          <w:p w14:paraId="7AFC1875">
            <w:pPr>
              <w:pStyle w:val="41"/>
              <w:spacing w:line="300" w:lineRule="auto"/>
              <w:ind w:left="0" w:firstLine="0"/>
              <w:rPr>
                <w:rFonts w:hint="eastAsia" w:ascii="宋体" w:hAnsi="宋体" w:eastAsia="宋体" w:cs="宋体"/>
                <w:bCs/>
                <w:szCs w:val="24"/>
              </w:rPr>
            </w:pPr>
          </w:p>
          <w:p w14:paraId="3FF033D8">
            <w:pPr>
              <w:pStyle w:val="41"/>
              <w:spacing w:line="300" w:lineRule="auto"/>
              <w:ind w:left="0" w:firstLine="0"/>
              <w:rPr>
                <w:rFonts w:hint="eastAsia" w:ascii="宋体" w:hAnsi="宋体" w:eastAsia="宋体" w:cs="宋体"/>
                <w:bCs/>
                <w:szCs w:val="24"/>
              </w:rPr>
            </w:pPr>
          </w:p>
          <w:p w14:paraId="2489FAA2">
            <w:pPr>
              <w:pStyle w:val="41"/>
              <w:spacing w:line="300" w:lineRule="auto"/>
              <w:ind w:left="0" w:firstLine="0"/>
              <w:rPr>
                <w:rFonts w:hint="eastAsia" w:ascii="宋体" w:hAnsi="宋体" w:eastAsia="宋体" w:cs="宋体"/>
                <w:bCs/>
                <w:szCs w:val="24"/>
              </w:rPr>
            </w:pPr>
          </w:p>
          <w:p w14:paraId="7CFA1F45">
            <w:pPr>
              <w:pStyle w:val="41"/>
              <w:spacing w:line="300" w:lineRule="auto"/>
              <w:ind w:left="0" w:firstLine="0"/>
              <w:rPr>
                <w:rFonts w:hint="eastAsia" w:ascii="宋体" w:hAnsi="宋体" w:eastAsia="宋体" w:cs="宋体"/>
                <w:bCs/>
                <w:szCs w:val="24"/>
              </w:rPr>
            </w:pPr>
          </w:p>
          <w:p w14:paraId="149B3724">
            <w:pPr>
              <w:pStyle w:val="41"/>
              <w:spacing w:line="300" w:lineRule="auto"/>
              <w:ind w:left="0" w:firstLine="0"/>
              <w:rPr>
                <w:rFonts w:hint="eastAsia" w:ascii="宋体" w:hAnsi="宋体" w:eastAsia="宋体" w:cs="宋体"/>
                <w:bCs/>
                <w:szCs w:val="24"/>
              </w:rPr>
            </w:pPr>
          </w:p>
          <w:p w14:paraId="477206A3">
            <w:pPr>
              <w:pStyle w:val="41"/>
              <w:spacing w:line="300" w:lineRule="auto"/>
              <w:ind w:left="0" w:firstLine="0"/>
              <w:rPr>
                <w:rFonts w:hint="eastAsia" w:ascii="宋体" w:hAnsi="宋体" w:eastAsia="宋体" w:cs="宋体"/>
                <w:bCs/>
                <w:szCs w:val="24"/>
              </w:rPr>
            </w:pPr>
          </w:p>
          <w:p w14:paraId="72DEF887">
            <w:pPr>
              <w:pStyle w:val="41"/>
              <w:spacing w:line="300" w:lineRule="auto"/>
              <w:ind w:left="0" w:firstLine="0"/>
              <w:rPr>
                <w:rFonts w:hint="eastAsia" w:ascii="宋体" w:hAnsi="宋体" w:eastAsia="宋体" w:cs="宋体"/>
                <w:bCs/>
                <w:szCs w:val="24"/>
              </w:rPr>
            </w:pPr>
          </w:p>
          <w:p w14:paraId="2DD98429">
            <w:pPr>
              <w:pStyle w:val="41"/>
              <w:spacing w:line="300" w:lineRule="auto"/>
              <w:ind w:left="0" w:firstLine="0"/>
              <w:rPr>
                <w:rFonts w:hint="eastAsia" w:ascii="宋体" w:hAnsi="宋体" w:eastAsia="宋体" w:cs="宋体"/>
                <w:bCs/>
                <w:szCs w:val="24"/>
              </w:rPr>
            </w:pPr>
          </w:p>
          <w:p w14:paraId="18046A27">
            <w:pPr>
              <w:pStyle w:val="41"/>
              <w:spacing w:line="300" w:lineRule="auto"/>
              <w:ind w:left="0" w:firstLine="0"/>
              <w:rPr>
                <w:rFonts w:hint="eastAsia" w:ascii="宋体" w:hAnsi="宋体" w:eastAsia="宋体" w:cs="宋体"/>
                <w:bCs/>
                <w:szCs w:val="24"/>
              </w:rPr>
            </w:pPr>
          </w:p>
          <w:p w14:paraId="53539670">
            <w:pPr>
              <w:pStyle w:val="41"/>
              <w:spacing w:line="300" w:lineRule="auto"/>
              <w:ind w:left="0" w:firstLine="0"/>
              <w:rPr>
                <w:rFonts w:hint="eastAsia" w:ascii="宋体" w:hAnsi="宋体" w:eastAsia="宋体" w:cs="宋体"/>
                <w:bCs/>
                <w:szCs w:val="24"/>
              </w:rPr>
            </w:pPr>
          </w:p>
          <w:p w14:paraId="2F84E662">
            <w:pPr>
              <w:pStyle w:val="41"/>
              <w:spacing w:line="300" w:lineRule="auto"/>
              <w:ind w:left="0" w:firstLine="0"/>
              <w:rPr>
                <w:rFonts w:hint="eastAsia" w:ascii="宋体" w:hAnsi="宋体" w:eastAsia="宋体" w:cs="宋体"/>
                <w:bCs/>
                <w:szCs w:val="24"/>
              </w:rPr>
            </w:pPr>
          </w:p>
          <w:p w14:paraId="4369C32C">
            <w:pPr>
              <w:pStyle w:val="41"/>
              <w:spacing w:line="300" w:lineRule="auto"/>
              <w:ind w:left="0" w:firstLine="0"/>
              <w:rPr>
                <w:rFonts w:hint="eastAsia" w:ascii="宋体" w:hAnsi="宋体" w:eastAsia="宋体" w:cs="宋体"/>
                <w:bCs/>
                <w:szCs w:val="24"/>
              </w:rPr>
            </w:pPr>
          </w:p>
          <w:p w14:paraId="0C365971">
            <w:pPr>
              <w:pStyle w:val="41"/>
              <w:spacing w:line="300" w:lineRule="auto"/>
              <w:ind w:left="0" w:firstLine="0"/>
              <w:rPr>
                <w:rFonts w:hint="eastAsia" w:ascii="宋体" w:hAnsi="宋体" w:eastAsia="宋体" w:cs="宋体"/>
                <w:bCs/>
                <w:szCs w:val="24"/>
              </w:rPr>
            </w:pPr>
            <w:r>
              <w:rPr>
                <w:rFonts w:hint="eastAsia" w:ascii="宋体" w:hAnsi="宋体" w:eastAsia="宋体" w:cs="宋体"/>
                <w:bCs/>
              </w:rPr>
              <w:t>门诊</w:t>
            </w:r>
            <w:r>
              <w:rPr>
                <w:rFonts w:hint="eastAsia" w:ascii="宋体" w:hAnsi="宋体" w:eastAsia="宋体" w:cs="宋体"/>
                <w:bCs/>
                <w:szCs w:val="24"/>
              </w:rPr>
              <w:t>统计分析</w:t>
            </w:r>
          </w:p>
        </w:tc>
        <w:tc>
          <w:tcPr>
            <w:tcW w:w="906" w:type="dxa"/>
            <w:vAlign w:val="center"/>
          </w:tcPr>
          <w:p w14:paraId="42D0DD5F">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基础指标统计</w:t>
            </w:r>
          </w:p>
        </w:tc>
        <w:tc>
          <w:tcPr>
            <w:tcW w:w="6180" w:type="dxa"/>
            <w:vAlign w:val="center"/>
          </w:tcPr>
          <w:p w14:paraId="4F0CDF77">
            <w:pPr>
              <w:spacing w:line="300" w:lineRule="auto"/>
              <w:rPr>
                <w:rFonts w:hint="eastAsia" w:ascii="宋体" w:hAnsi="宋体" w:eastAsia="宋体" w:cs="宋体"/>
                <w:bCs/>
              </w:rPr>
            </w:pPr>
            <w:r>
              <w:rPr>
                <w:rFonts w:hint="eastAsia" w:ascii="宋体" w:hAnsi="宋体" w:eastAsia="宋体" w:cs="宋体"/>
                <w:bCs/>
              </w:rPr>
              <w:t>1.支持按就诊就诊日期进行查询，提供按当日、昨日、近三天、近一周、本月、本季度、本年等快捷日期查询方式。</w:t>
            </w:r>
          </w:p>
          <w:p w14:paraId="29EC603D">
            <w:pPr>
              <w:spacing w:line="300" w:lineRule="auto"/>
              <w:rPr>
                <w:rFonts w:hint="eastAsia" w:ascii="宋体" w:hAnsi="宋体" w:eastAsia="宋体" w:cs="宋体"/>
                <w:bCs/>
              </w:rPr>
            </w:pPr>
            <w:r>
              <w:rPr>
                <w:rFonts w:hint="eastAsia" w:ascii="宋体" w:hAnsi="宋体" w:eastAsia="宋体" w:cs="宋体"/>
                <w:bCs/>
              </w:rPr>
              <w:t>2.以堆积柱形图和折线图，支持按月或者按年进行切换，展示门诊总量分布趋势及各门诊就诊类型分布情况。</w:t>
            </w:r>
          </w:p>
          <w:p w14:paraId="27BF14CA">
            <w:pPr>
              <w:spacing w:line="300" w:lineRule="auto"/>
              <w:rPr>
                <w:rFonts w:hint="eastAsia" w:ascii="宋体" w:hAnsi="宋体" w:eastAsia="宋体" w:cs="宋体"/>
                <w:bCs/>
              </w:rPr>
            </w:pPr>
            <w:r>
              <w:rPr>
                <w:rFonts w:hint="eastAsia" w:ascii="宋体" w:hAnsi="宋体" w:eastAsia="宋体" w:cs="宋体"/>
                <w:bCs/>
              </w:rPr>
              <w:t>3.支持按科室统计各科室门（急）诊工作量及指标分析，基础指标包含门诊总量、门诊量、门诊量占比、急诊量、急诊量占比、平均医疗费用、死亡患者数量、死亡患者占比、急诊留观患者数、急诊留观患者占比等。</w:t>
            </w:r>
          </w:p>
          <w:p w14:paraId="4AE75EC0">
            <w:pPr>
              <w:spacing w:line="300" w:lineRule="auto"/>
              <w:rPr>
                <w:rFonts w:hint="eastAsia" w:ascii="宋体" w:hAnsi="宋体" w:eastAsia="宋体" w:cs="宋体"/>
                <w:bCs/>
              </w:rPr>
            </w:pPr>
            <w:r>
              <w:rPr>
                <w:rFonts w:hint="eastAsia" w:ascii="宋体" w:hAnsi="宋体" w:eastAsia="宋体" w:cs="宋体"/>
                <w:bCs/>
              </w:rPr>
              <w:t>4.支持按医师统计各医师门（急）诊工作量及指标分析，基础指标包含门诊总量、门诊量、门诊量占比、急诊量、急诊量占比、平均医疗费用、死亡患者数量、死亡患者占比、急诊留观患者数、急诊留观患者占比等。</w:t>
            </w:r>
          </w:p>
          <w:p w14:paraId="6F790A90">
            <w:pPr>
              <w:spacing w:line="300" w:lineRule="auto"/>
              <w:rPr>
                <w:rFonts w:hint="eastAsia" w:ascii="宋体" w:hAnsi="宋体" w:eastAsia="宋体" w:cs="宋体"/>
                <w:bCs/>
              </w:rPr>
            </w:pPr>
            <w:r>
              <w:rPr>
                <w:rFonts w:hint="eastAsia" w:ascii="宋体" w:hAnsi="宋体" w:eastAsia="宋体" w:cs="宋体"/>
                <w:bCs/>
              </w:rPr>
              <w:t>5.支持列表数据导出。</w:t>
            </w:r>
          </w:p>
        </w:tc>
      </w:tr>
      <w:tr w14:paraId="731E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4A131435">
            <w:pPr>
              <w:pStyle w:val="41"/>
              <w:spacing w:line="300" w:lineRule="auto"/>
              <w:ind w:left="0" w:firstLine="0"/>
              <w:rPr>
                <w:rFonts w:hint="eastAsia" w:ascii="宋体" w:hAnsi="宋体" w:eastAsia="宋体" w:cs="宋体"/>
                <w:bCs/>
                <w:szCs w:val="24"/>
              </w:rPr>
            </w:pPr>
          </w:p>
        </w:tc>
        <w:tc>
          <w:tcPr>
            <w:tcW w:w="906" w:type="dxa"/>
            <w:vAlign w:val="center"/>
          </w:tcPr>
          <w:p w14:paraId="7604A7A4">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科室医生质控分布统计</w:t>
            </w:r>
          </w:p>
        </w:tc>
        <w:tc>
          <w:tcPr>
            <w:tcW w:w="6180" w:type="dxa"/>
            <w:vAlign w:val="center"/>
          </w:tcPr>
          <w:p w14:paraId="45FA87F0">
            <w:pPr>
              <w:spacing w:line="300" w:lineRule="auto"/>
              <w:rPr>
                <w:rFonts w:hint="eastAsia" w:ascii="宋体" w:hAnsi="宋体" w:eastAsia="宋体" w:cs="宋体"/>
                <w:bCs/>
              </w:rPr>
            </w:pPr>
            <w:r>
              <w:rPr>
                <w:rFonts w:hint="eastAsia" w:ascii="宋体" w:hAnsi="宋体" w:eastAsia="宋体" w:cs="宋体"/>
                <w:bCs/>
              </w:rPr>
              <w:t>1.支持按科室，按就诊日期进行查询，提供按当日、昨日、近三天、近一周、本月、本季度、本年等快捷日期查询方式。</w:t>
            </w:r>
          </w:p>
          <w:p w14:paraId="1D54C818">
            <w:pPr>
              <w:spacing w:line="300" w:lineRule="auto"/>
              <w:rPr>
                <w:rFonts w:hint="eastAsia" w:ascii="宋体" w:hAnsi="宋体" w:eastAsia="宋体" w:cs="宋体"/>
                <w:bCs/>
              </w:rPr>
            </w:pPr>
            <w:r>
              <w:rPr>
                <w:rFonts w:hint="eastAsia" w:ascii="宋体" w:hAnsi="宋体" w:eastAsia="宋体" w:cs="宋体"/>
                <w:bCs/>
              </w:rPr>
              <w:t>2.支持按科室统计完整性、合理性和逻辑性问题分布，支持以饼图展示。</w:t>
            </w:r>
          </w:p>
          <w:p w14:paraId="6C54DC92">
            <w:pPr>
              <w:spacing w:line="300" w:lineRule="auto"/>
              <w:rPr>
                <w:rFonts w:hint="eastAsia" w:ascii="宋体" w:hAnsi="宋体" w:eastAsia="宋体" w:cs="宋体"/>
                <w:bCs/>
              </w:rPr>
            </w:pPr>
            <w:r>
              <w:rPr>
                <w:rFonts w:hint="eastAsia" w:ascii="宋体" w:hAnsi="宋体" w:eastAsia="宋体" w:cs="宋体"/>
                <w:bCs/>
              </w:rPr>
              <w:t>3.支持统计各科室错误问题分布情况。指标包含：各科室门诊总量、质控总量、质控错误数、完整性错误病案数、逻辑性错误病案数、合理性错误病案数</w:t>
            </w:r>
          </w:p>
          <w:p w14:paraId="33607FF0">
            <w:pPr>
              <w:spacing w:line="300" w:lineRule="auto"/>
              <w:rPr>
                <w:rFonts w:hint="eastAsia" w:ascii="宋体" w:hAnsi="宋体" w:eastAsia="宋体" w:cs="宋体"/>
                <w:bCs/>
              </w:rPr>
            </w:pPr>
            <w:r>
              <w:rPr>
                <w:rFonts w:hint="eastAsia" w:ascii="宋体" w:hAnsi="宋体" w:eastAsia="宋体" w:cs="宋体"/>
                <w:bCs/>
              </w:rPr>
              <w:t>4.支持按医师统计完整性、合理性和逻辑性问题分布，支持以饼图展示。</w:t>
            </w:r>
          </w:p>
          <w:p w14:paraId="39E04894">
            <w:pPr>
              <w:spacing w:line="300" w:lineRule="auto"/>
              <w:rPr>
                <w:rFonts w:hint="eastAsia" w:ascii="宋体" w:hAnsi="宋体" w:eastAsia="宋体" w:cs="宋体"/>
                <w:bCs/>
              </w:rPr>
            </w:pPr>
            <w:r>
              <w:rPr>
                <w:rFonts w:hint="eastAsia" w:ascii="宋体" w:hAnsi="宋体" w:eastAsia="宋体" w:cs="宋体"/>
                <w:bCs/>
              </w:rPr>
              <w:t>5.支持统计各医师错误问题分布情况。指标包含：各科室门诊总量、质控总量、质控错误数、完整性错误病案数、逻辑性错误病案数、合理性错误病案数</w:t>
            </w:r>
          </w:p>
          <w:p w14:paraId="4BDDCBA1">
            <w:pPr>
              <w:spacing w:line="300" w:lineRule="auto"/>
              <w:rPr>
                <w:rFonts w:hint="eastAsia" w:ascii="宋体" w:hAnsi="宋体" w:eastAsia="宋体" w:cs="宋体"/>
                <w:bCs/>
              </w:rPr>
            </w:pPr>
            <w:r>
              <w:rPr>
                <w:rFonts w:hint="eastAsia" w:ascii="宋体" w:hAnsi="宋体" w:eastAsia="宋体" w:cs="宋体"/>
                <w:bCs/>
              </w:rPr>
              <w:t>6.支持各质控问题错误数进行倒序展示及对应的患者分布。点击具体错误问题将自动联动到患者分布列表，列表展示存在该问题的所有患者列表。患者列表包含就诊号、姓名、就诊日期、就诊科室和就诊日期，支持点击查看进入到患者门（急）诊诊疗信息页。</w:t>
            </w:r>
          </w:p>
          <w:p w14:paraId="784CCC66">
            <w:pPr>
              <w:spacing w:line="300" w:lineRule="auto"/>
              <w:rPr>
                <w:rFonts w:hint="eastAsia" w:ascii="宋体" w:hAnsi="宋体" w:eastAsia="宋体" w:cs="宋体"/>
                <w:bCs/>
              </w:rPr>
            </w:pPr>
            <w:r>
              <w:rPr>
                <w:rFonts w:hint="eastAsia" w:ascii="宋体" w:hAnsi="宋体" w:eastAsia="宋体" w:cs="宋体"/>
                <w:bCs/>
              </w:rPr>
              <w:t>7.支持列表数据导出。</w:t>
            </w:r>
          </w:p>
        </w:tc>
      </w:tr>
      <w:tr w14:paraId="0F859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03B116E9">
            <w:pPr>
              <w:pStyle w:val="41"/>
              <w:spacing w:line="300" w:lineRule="auto"/>
              <w:ind w:left="0" w:firstLine="0"/>
              <w:rPr>
                <w:rFonts w:hint="eastAsia" w:ascii="宋体" w:hAnsi="宋体" w:eastAsia="宋体" w:cs="宋体"/>
                <w:bCs/>
                <w:szCs w:val="24"/>
              </w:rPr>
            </w:pPr>
          </w:p>
        </w:tc>
        <w:tc>
          <w:tcPr>
            <w:tcW w:w="906" w:type="dxa"/>
            <w:vAlign w:val="center"/>
          </w:tcPr>
          <w:p w14:paraId="3E1AC9FF">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门（急）诊患者分析</w:t>
            </w:r>
          </w:p>
        </w:tc>
        <w:tc>
          <w:tcPr>
            <w:tcW w:w="6180" w:type="dxa"/>
            <w:vAlign w:val="center"/>
          </w:tcPr>
          <w:p w14:paraId="11843344">
            <w:pPr>
              <w:spacing w:line="300" w:lineRule="auto"/>
              <w:rPr>
                <w:rFonts w:hint="eastAsia" w:ascii="宋体" w:hAnsi="宋体" w:eastAsia="宋体" w:cs="宋体"/>
                <w:bCs/>
              </w:rPr>
            </w:pPr>
            <w:r>
              <w:rPr>
                <w:rFonts w:hint="eastAsia" w:ascii="宋体" w:hAnsi="宋体" w:eastAsia="宋体" w:cs="宋体"/>
                <w:bCs/>
              </w:rPr>
              <w:t>包含患者来源分布、性别分布和年龄分布。</w:t>
            </w:r>
          </w:p>
          <w:p w14:paraId="52A02088">
            <w:pPr>
              <w:spacing w:line="300" w:lineRule="auto"/>
              <w:rPr>
                <w:rFonts w:hint="eastAsia" w:ascii="宋体" w:hAnsi="宋体" w:eastAsia="宋体" w:cs="宋体"/>
                <w:bCs/>
              </w:rPr>
            </w:pPr>
            <w:r>
              <w:rPr>
                <w:rFonts w:hint="eastAsia" w:ascii="宋体" w:hAnsi="宋体" w:eastAsia="宋体" w:cs="宋体"/>
                <w:bCs/>
              </w:rPr>
              <w:t>1.患者来源分布：支持对门（急）诊患者来源进行分析，统计各省市患者的门诊总量和患者人次，并以饼图展示门（急）诊患者省分布占比情况。</w:t>
            </w:r>
          </w:p>
          <w:p w14:paraId="4A349365">
            <w:pPr>
              <w:spacing w:line="300" w:lineRule="auto"/>
              <w:rPr>
                <w:rFonts w:hint="eastAsia" w:ascii="宋体" w:hAnsi="宋体" w:eastAsia="宋体" w:cs="宋体"/>
                <w:bCs/>
              </w:rPr>
            </w:pPr>
            <w:r>
              <w:rPr>
                <w:rFonts w:hint="eastAsia" w:ascii="宋体" w:hAnsi="宋体" w:eastAsia="宋体" w:cs="宋体"/>
                <w:bCs/>
              </w:rPr>
              <w:t>2.性别分布：对门（急）诊患者性别进行分布，展示男性患者人数及占比和女性患者人数及占比。</w:t>
            </w:r>
          </w:p>
          <w:p w14:paraId="19AA6CA7">
            <w:pPr>
              <w:spacing w:line="300" w:lineRule="auto"/>
              <w:rPr>
                <w:rFonts w:hint="eastAsia" w:ascii="宋体" w:hAnsi="宋体" w:eastAsia="宋体" w:cs="宋体"/>
                <w:bCs/>
              </w:rPr>
            </w:pPr>
            <w:r>
              <w:rPr>
                <w:rFonts w:hint="eastAsia" w:ascii="宋体" w:hAnsi="宋体" w:eastAsia="宋体" w:cs="宋体"/>
                <w:bCs/>
              </w:rPr>
              <w:t>3.年龄分布：对各年龄段门（急）诊患者进行分析，以柱形图和列表方式直观展示各年龄段数据分布情况，包含28天以内、28天-6岁、6岁-12岁、12-18岁、19-35岁、36-60岁、61-70岁、71-80岁、80岁以上等各年级阶段</w:t>
            </w:r>
            <w:r>
              <w:rPr>
                <w:rFonts w:hint="eastAsia" w:ascii="宋体" w:hAnsi="宋体" w:eastAsia="宋体" w:cs="宋体"/>
                <w:bCs/>
                <w:lang w:eastAsia="zh-CN"/>
              </w:rPr>
              <w:t>（</w:t>
            </w:r>
            <w:r>
              <w:rPr>
                <w:rFonts w:hint="eastAsia" w:ascii="宋体" w:hAnsi="宋体" w:eastAsia="宋体" w:cs="宋体"/>
                <w:bCs/>
                <w:lang w:val="en-US" w:eastAsia="zh-CN"/>
              </w:rPr>
              <w:t>可自定义</w:t>
            </w:r>
            <w:r>
              <w:rPr>
                <w:rFonts w:hint="eastAsia" w:ascii="宋体" w:hAnsi="宋体" w:eastAsia="宋体" w:cs="宋体"/>
                <w:bCs/>
                <w:lang w:eastAsia="zh-CN"/>
              </w:rPr>
              <w:t>）</w:t>
            </w:r>
            <w:r>
              <w:rPr>
                <w:rFonts w:hint="eastAsia" w:ascii="宋体" w:hAnsi="宋体" w:eastAsia="宋体" w:cs="宋体"/>
                <w:bCs/>
              </w:rPr>
              <w:t>。</w:t>
            </w:r>
          </w:p>
          <w:p w14:paraId="415182E9">
            <w:pPr>
              <w:spacing w:line="300" w:lineRule="auto"/>
              <w:rPr>
                <w:rFonts w:hint="eastAsia" w:ascii="宋体" w:hAnsi="宋体" w:eastAsia="宋体" w:cs="宋体"/>
                <w:bCs/>
              </w:rPr>
            </w:pPr>
            <w:r>
              <w:rPr>
                <w:rFonts w:hint="eastAsia" w:ascii="宋体" w:hAnsi="宋体" w:eastAsia="宋体" w:cs="宋体"/>
                <w:bCs/>
              </w:rPr>
              <w:t>4.支持报表数据的导出功能。</w:t>
            </w:r>
          </w:p>
        </w:tc>
      </w:tr>
      <w:tr w14:paraId="4F29F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03A173FA">
            <w:pPr>
              <w:pStyle w:val="41"/>
              <w:spacing w:line="300" w:lineRule="auto"/>
              <w:ind w:left="0" w:firstLine="0"/>
              <w:rPr>
                <w:rFonts w:hint="eastAsia" w:ascii="宋体" w:hAnsi="宋体" w:eastAsia="宋体" w:cs="宋体"/>
                <w:bCs/>
                <w:szCs w:val="24"/>
              </w:rPr>
            </w:pPr>
          </w:p>
        </w:tc>
        <w:tc>
          <w:tcPr>
            <w:tcW w:w="906" w:type="dxa"/>
            <w:vAlign w:val="center"/>
          </w:tcPr>
          <w:p w14:paraId="3204710A">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急诊患者转归情况分析</w:t>
            </w:r>
          </w:p>
        </w:tc>
        <w:tc>
          <w:tcPr>
            <w:tcW w:w="6180" w:type="dxa"/>
            <w:vAlign w:val="center"/>
          </w:tcPr>
          <w:p w14:paraId="21CE9FB6">
            <w:pPr>
              <w:numPr>
                <w:ilvl w:val="0"/>
                <w:numId w:val="24"/>
              </w:numPr>
              <w:spacing w:line="300" w:lineRule="auto"/>
              <w:ind w:left="0" w:firstLine="0"/>
              <w:rPr>
                <w:rFonts w:hint="eastAsia" w:ascii="宋体" w:hAnsi="宋体" w:eastAsia="宋体" w:cs="宋体"/>
                <w:bCs/>
              </w:rPr>
            </w:pPr>
            <w:r>
              <w:rPr>
                <w:rFonts w:hint="eastAsia" w:ascii="宋体" w:hAnsi="宋体" w:eastAsia="宋体" w:cs="宋体"/>
                <w:bCs/>
              </w:rPr>
              <w:t>列表直观展示急诊患者门（急）诊及同环比。</w:t>
            </w:r>
          </w:p>
          <w:p w14:paraId="0351214A">
            <w:pPr>
              <w:numPr>
                <w:ilvl w:val="0"/>
                <w:numId w:val="24"/>
              </w:numPr>
              <w:spacing w:line="300" w:lineRule="auto"/>
              <w:ind w:left="0" w:firstLine="0"/>
              <w:rPr>
                <w:rFonts w:hint="eastAsia" w:ascii="宋体" w:hAnsi="宋体" w:eastAsia="宋体" w:cs="宋体"/>
                <w:bCs/>
              </w:rPr>
            </w:pPr>
            <w:r>
              <w:rPr>
                <w:rFonts w:hint="eastAsia" w:ascii="宋体" w:hAnsi="宋体" w:eastAsia="宋体" w:cs="宋体"/>
                <w:bCs/>
              </w:rPr>
              <w:t>以饼图方式展示各类型转归情况占比情况。</w:t>
            </w:r>
          </w:p>
          <w:p w14:paraId="4265E8B6">
            <w:pPr>
              <w:numPr>
                <w:ilvl w:val="0"/>
                <w:numId w:val="24"/>
              </w:numPr>
              <w:spacing w:line="300" w:lineRule="auto"/>
              <w:ind w:left="0" w:firstLine="0"/>
              <w:rPr>
                <w:rFonts w:hint="eastAsia" w:ascii="宋体" w:hAnsi="宋体" w:eastAsia="宋体" w:cs="宋体"/>
                <w:bCs/>
              </w:rPr>
            </w:pPr>
            <w:r>
              <w:rPr>
                <w:rFonts w:hint="eastAsia" w:ascii="宋体" w:hAnsi="宋体" w:eastAsia="宋体" w:cs="宋体"/>
                <w:bCs/>
              </w:rPr>
              <w:t>支持联动，显示各类型下患者明细数据，包含患者就诊号、姓名、门（急）诊总费用、就诊时间、主要诊断和主要手术等内容。</w:t>
            </w:r>
          </w:p>
          <w:p w14:paraId="3AEB038D">
            <w:pPr>
              <w:numPr>
                <w:ilvl w:val="0"/>
                <w:numId w:val="24"/>
              </w:numPr>
              <w:spacing w:line="300" w:lineRule="auto"/>
              <w:ind w:left="0" w:firstLine="0"/>
              <w:rPr>
                <w:rFonts w:hint="eastAsia" w:ascii="宋体" w:hAnsi="宋体" w:eastAsia="宋体" w:cs="宋体"/>
                <w:bCs/>
              </w:rPr>
            </w:pPr>
            <w:r>
              <w:rPr>
                <w:rFonts w:hint="eastAsia" w:ascii="宋体" w:hAnsi="宋体" w:eastAsia="宋体" w:cs="宋体"/>
                <w:bCs/>
              </w:rPr>
              <w:t>支持报表数据的导出功能。</w:t>
            </w:r>
          </w:p>
        </w:tc>
      </w:tr>
      <w:tr w14:paraId="6DEA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25AE918A">
            <w:pPr>
              <w:pStyle w:val="41"/>
              <w:spacing w:line="300" w:lineRule="auto"/>
              <w:ind w:left="0" w:firstLine="0"/>
              <w:rPr>
                <w:rFonts w:hint="eastAsia" w:ascii="宋体" w:hAnsi="宋体" w:eastAsia="宋体" w:cs="宋体"/>
                <w:bCs/>
                <w:szCs w:val="24"/>
              </w:rPr>
            </w:pPr>
          </w:p>
        </w:tc>
        <w:tc>
          <w:tcPr>
            <w:tcW w:w="906" w:type="dxa"/>
            <w:vAlign w:val="center"/>
          </w:tcPr>
          <w:p w14:paraId="5702CAD8">
            <w:pPr>
              <w:rPr>
                <w:rFonts w:hint="eastAsia" w:ascii="宋体" w:hAnsi="宋体" w:eastAsia="宋体" w:cs="宋体"/>
                <w:bCs/>
              </w:rPr>
            </w:pPr>
            <w:r>
              <w:rPr>
                <w:rFonts w:hint="eastAsia" w:ascii="宋体" w:hAnsi="宋体" w:cs="宋体"/>
              </w:rPr>
              <w:t>疾病顺位统计</w:t>
            </w:r>
          </w:p>
        </w:tc>
        <w:tc>
          <w:tcPr>
            <w:tcW w:w="6180" w:type="dxa"/>
            <w:vAlign w:val="center"/>
          </w:tcPr>
          <w:p w14:paraId="1C8CBBF4">
            <w:pPr>
              <w:spacing w:line="300" w:lineRule="auto"/>
              <w:rPr>
                <w:rFonts w:hint="eastAsia" w:ascii="宋体" w:hAnsi="宋体" w:eastAsia="宋体" w:cs="宋体"/>
                <w:bCs/>
              </w:rPr>
            </w:pPr>
            <w:r>
              <w:rPr>
                <w:rFonts w:hint="eastAsia" w:ascii="宋体" w:hAnsi="宋体" w:eastAsia="宋体" w:cs="宋体"/>
                <w:bCs/>
              </w:rPr>
              <w:t>1.系统支持就诊时间、就诊科室、就诊医师、按类目、亚目等类型进行数据查询。</w:t>
            </w:r>
          </w:p>
          <w:p w14:paraId="16DB6E6C">
            <w:pPr>
              <w:spacing w:line="300" w:lineRule="auto"/>
              <w:rPr>
                <w:rFonts w:hint="eastAsia" w:ascii="宋体" w:hAnsi="宋体" w:eastAsia="宋体" w:cs="宋体"/>
                <w:bCs/>
              </w:rPr>
            </w:pPr>
            <w:r>
              <w:rPr>
                <w:rFonts w:hint="eastAsia" w:ascii="宋体" w:hAnsi="宋体" w:eastAsia="宋体" w:cs="宋体"/>
                <w:bCs/>
              </w:rPr>
              <w:t>2.以条形图展示编码类别统计前10排名。</w:t>
            </w:r>
          </w:p>
          <w:p w14:paraId="2C0A9052">
            <w:pPr>
              <w:spacing w:line="300" w:lineRule="auto"/>
              <w:rPr>
                <w:rFonts w:hint="eastAsia" w:ascii="宋体" w:hAnsi="宋体" w:cs="宋体"/>
                <w:bCs/>
              </w:rPr>
            </w:pPr>
            <w:r>
              <w:rPr>
                <w:rFonts w:hint="eastAsia" w:ascii="宋体" w:hAnsi="宋体" w:eastAsia="宋体" w:cs="宋体"/>
                <w:bCs/>
              </w:rPr>
              <w:t>3.编码类别明细：以列表方式展示各疾病编码的分布情况，包含疾病编码、疾病名称、门诊总量、门诊总费用、平均费用、复诊患者人数等。</w:t>
            </w:r>
          </w:p>
        </w:tc>
      </w:tr>
      <w:tr w14:paraId="766AF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0C920506">
            <w:pPr>
              <w:pStyle w:val="41"/>
              <w:spacing w:line="300" w:lineRule="auto"/>
              <w:ind w:left="0" w:firstLine="0"/>
              <w:rPr>
                <w:rFonts w:hint="eastAsia" w:ascii="宋体" w:hAnsi="宋体" w:eastAsia="宋体" w:cs="宋体"/>
                <w:bCs/>
                <w:szCs w:val="24"/>
              </w:rPr>
            </w:pPr>
          </w:p>
        </w:tc>
        <w:tc>
          <w:tcPr>
            <w:tcW w:w="906" w:type="dxa"/>
            <w:vAlign w:val="center"/>
          </w:tcPr>
          <w:p w14:paraId="6F202B95">
            <w:pPr>
              <w:rPr>
                <w:rFonts w:hint="eastAsia" w:ascii="宋体" w:hAnsi="宋体" w:eastAsia="宋体" w:cs="宋体"/>
                <w:bCs/>
              </w:rPr>
            </w:pPr>
            <w:r>
              <w:rPr>
                <w:rFonts w:hint="eastAsia" w:ascii="宋体" w:hAnsi="宋体" w:cs="宋体"/>
              </w:rPr>
              <w:t>罕见病报表</w:t>
            </w:r>
          </w:p>
        </w:tc>
        <w:tc>
          <w:tcPr>
            <w:tcW w:w="6180" w:type="dxa"/>
            <w:vAlign w:val="center"/>
          </w:tcPr>
          <w:p w14:paraId="0C1F8A8A">
            <w:pPr>
              <w:spacing w:line="300" w:lineRule="auto"/>
              <w:rPr>
                <w:rFonts w:hint="eastAsia" w:ascii="宋体" w:hAnsi="宋体" w:eastAsia="宋体" w:cs="宋体"/>
                <w:bCs/>
              </w:rPr>
            </w:pPr>
            <w:r>
              <w:rPr>
                <w:rFonts w:hint="eastAsia" w:ascii="宋体" w:hAnsi="宋体" w:eastAsia="宋体" w:cs="宋体"/>
                <w:bCs/>
              </w:rPr>
              <w:t>1.支持按就诊时间、就诊科室、就诊类型、患者姓名、罕见病名称、就诊医师等进行检索。</w:t>
            </w:r>
          </w:p>
          <w:p w14:paraId="711A9F01">
            <w:pPr>
              <w:spacing w:line="300" w:lineRule="auto"/>
              <w:rPr>
                <w:rFonts w:hint="eastAsia" w:ascii="宋体" w:hAnsi="宋体" w:eastAsia="宋体" w:cs="宋体"/>
                <w:bCs/>
              </w:rPr>
            </w:pPr>
            <w:r>
              <w:rPr>
                <w:rFonts w:hint="eastAsia" w:ascii="宋体" w:hAnsi="宋体" w:eastAsia="宋体" w:cs="宋体"/>
                <w:bCs/>
              </w:rPr>
              <w:t>2.以列表展示门诊罕见病的分布情况，数据包含罕见病编码、罕见病名称、患者例数等。</w:t>
            </w:r>
          </w:p>
          <w:p w14:paraId="5AB8B54F">
            <w:pPr>
              <w:spacing w:line="300" w:lineRule="auto"/>
              <w:rPr>
                <w:rFonts w:hint="eastAsia" w:ascii="宋体" w:hAnsi="宋体" w:eastAsia="宋体" w:cs="宋体"/>
                <w:bCs/>
              </w:rPr>
            </w:pPr>
            <w:r>
              <w:rPr>
                <w:rFonts w:hint="eastAsia" w:ascii="宋体" w:hAnsi="宋体" w:eastAsia="宋体" w:cs="宋体"/>
                <w:bCs/>
              </w:rPr>
              <w:t>3.以条形图展示罕见病前10疾病分布情况</w:t>
            </w:r>
          </w:p>
          <w:p w14:paraId="3D3AD651">
            <w:pPr>
              <w:spacing w:line="300" w:lineRule="auto"/>
              <w:rPr>
                <w:rFonts w:hint="eastAsia" w:ascii="宋体" w:hAnsi="宋体" w:eastAsia="宋体" w:cs="宋体"/>
                <w:bCs/>
              </w:rPr>
            </w:pPr>
            <w:r>
              <w:rPr>
                <w:rFonts w:hint="eastAsia" w:ascii="宋体" w:hAnsi="宋体" w:eastAsia="宋体" w:cs="宋体"/>
                <w:bCs/>
              </w:rPr>
              <w:t>4.列表展示罕见病患者分布情况。包含就诊号、就诊卡号、就诊时间、患者姓名、性别、婚姻状况、就诊科室、就诊医生、联系人电话、急诊患者转归情况、现住址等。</w:t>
            </w:r>
          </w:p>
        </w:tc>
      </w:tr>
      <w:tr w14:paraId="5B56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1A308ACB">
            <w:pPr>
              <w:pStyle w:val="41"/>
              <w:spacing w:line="300" w:lineRule="auto"/>
              <w:ind w:left="0" w:firstLine="0"/>
              <w:rPr>
                <w:rFonts w:hint="eastAsia" w:ascii="宋体" w:hAnsi="宋体" w:eastAsia="宋体" w:cs="宋体"/>
                <w:bCs/>
                <w:szCs w:val="24"/>
              </w:rPr>
            </w:pPr>
          </w:p>
        </w:tc>
        <w:tc>
          <w:tcPr>
            <w:tcW w:w="906" w:type="dxa"/>
            <w:vAlign w:val="center"/>
          </w:tcPr>
          <w:p w14:paraId="20430C15">
            <w:pPr>
              <w:rPr>
                <w:rFonts w:hint="eastAsia" w:ascii="宋体" w:hAnsi="宋体" w:eastAsia="宋体" w:cs="宋体"/>
                <w:bCs/>
              </w:rPr>
            </w:pPr>
            <w:r>
              <w:rPr>
                <w:rFonts w:hint="eastAsia" w:ascii="宋体" w:hAnsi="宋体" w:cs="宋体"/>
              </w:rPr>
              <w:t>传染病报表</w:t>
            </w:r>
          </w:p>
        </w:tc>
        <w:tc>
          <w:tcPr>
            <w:tcW w:w="6180" w:type="dxa"/>
            <w:vAlign w:val="center"/>
          </w:tcPr>
          <w:p w14:paraId="4F5E8C2A">
            <w:pPr>
              <w:spacing w:line="300" w:lineRule="auto"/>
              <w:rPr>
                <w:rFonts w:hint="eastAsia" w:ascii="宋体" w:hAnsi="宋体" w:eastAsia="宋体" w:cs="宋体"/>
                <w:bCs/>
              </w:rPr>
            </w:pPr>
            <w:r>
              <w:rPr>
                <w:rFonts w:hint="eastAsia" w:ascii="宋体" w:hAnsi="宋体" w:eastAsia="宋体" w:cs="宋体"/>
                <w:bCs/>
              </w:rPr>
              <w:t>1.支持按就诊时间、就诊科室、就诊类型、患者姓名、传染病名称、就诊医师等进行检索。</w:t>
            </w:r>
          </w:p>
          <w:p w14:paraId="72572254">
            <w:pPr>
              <w:spacing w:line="300" w:lineRule="auto"/>
              <w:rPr>
                <w:rFonts w:hint="eastAsia" w:ascii="宋体" w:hAnsi="宋体" w:eastAsia="宋体" w:cs="宋体"/>
                <w:bCs/>
              </w:rPr>
            </w:pPr>
            <w:r>
              <w:rPr>
                <w:rFonts w:hint="eastAsia" w:ascii="宋体" w:hAnsi="宋体" w:eastAsia="宋体" w:cs="宋体"/>
                <w:bCs/>
              </w:rPr>
              <w:t>2.以列表展示门诊传染病的分布情况，数据包含传染病编码、传染病名称、患者例数等。</w:t>
            </w:r>
          </w:p>
          <w:p w14:paraId="5340E4EA">
            <w:pPr>
              <w:spacing w:line="300" w:lineRule="auto"/>
              <w:rPr>
                <w:rFonts w:hint="eastAsia" w:ascii="宋体" w:hAnsi="宋体" w:eastAsia="宋体" w:cs="宋体"/>
                <w:bCs/>
              </w:rPr>
            </w:pPr>
            <w:r>
              <w:rPr>
                <w:rFonts w:hint="eastAsia" w:ascii="宋体" w:hAnsi="宋体" w:eastAsia="宋体" w:cs="宋体"/>
                <w:bCs/>
              </w:rPr>
              <w:t>3.以条形图展示传染病前10疾病分布情况。</w:t>
            </w:r>
          </w:p>
          <w:p w14:paraId="76A2C916">
            <w:pPr>
              <w:spacing w:line="300" w:lineRule="auto"/>
              <w:rPr>
                <w:rFonts w:hint="eastAsia" w:ascii="宋体" w:hAnsi="宋体" w:eastAsia="宋体" w:cs="宋体"/>
                <w:bCs/>
              </w:rPr>
            </w:pPr>
            <w:r>
              <w:rPr>
                <w:rFonts w:hint="eastAsia" w:ascii="宋体" w:hAnsi="宋体" w:eastAsia="宋体" w:cs="宋体"/>
                <w:bCs/>
              </w:rPr>
              <w:t>4.列表展示传染病患者分布情况。包含就诊号、就诊卡号、就诊时间、患者姓名、性别、婚姻状况、就诊科室等。</w:t>
            </w:r>
          </w:p>
        </w:tc>
      </w:tr>
      <w:tr w14:paraId="28BD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7" w:hRule="atLeast"/>
        </w:trPr>
        <w:tc>
          <w:tcPr>
            <w:tcW w:w="1314" w:type="dxa"/>
            <w:vMerge w:val="continue"/>
            <w:vAlign w:val="center"/>
          </w:tcPr>
          <w:p w14:paraId="33F49436">
            <w:pPr>
              <w:pStyle w:val="41"/>
              <w:spacing w:line="300" w:lineRule="auto"/>
              <w:ind w:left="0" w:firstLine="0"/>
              <w:rPr>
                <w:rFonts w:hint="eastAsia" w:ascii="宋体" w:hAnsi="宋体" w:eastAsia="宋体" w:cs="宋体"/>
                <w:bCs/>
                <w:szCs w:val="24"/>
              </w:rPr>
            </w:pPr>
          </w:p>
        </w:tc>
        <w:tc>
          <w:tcPr>
            <w:tcW w:w="906" w:type="dxa"/>
            <w:vAlign w:val="center"/>
          </w:tcPr>
          <w:p w14:paraId="1ABA3418">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急诊患者分级统计</w:t>
            </w:r>
          </w:p>
        </w:tc>
        <w:tc>
          <w:tcPr>
            <w:tcW w:w="6180" w:type="dxa"/>
            <w:vAlign w:val="center"/>
          </w:tcPr>
          <w:p w14:paraId="20CDDD78">
            <w:pPr>
              <w:spacing w:line="300" w:lineRule="auto"/>
              <w:rPr>
                <w:rFonts w:hint="eastAsia" w:ascii="宋体" w:hAnsi="宋体" w:eastAsia="宋体" w:cs="宋体"/>
                <w:bCs/>
              </w:rPr>
            </w:pPr>
            <w:r>
              <w:rPr>
                <w:rFonts w:hint="eastAsia" w:ascii="宋体" w:hAnsi="宋体" w:eastAsia="宋体" w:cs="宋体"/>
                <w:bCs/>
              </w:rPr>
              <w:t>展示急诊患者总体情况，包含门（急）诊总量、月平均门（急）诊量、急诊总量和月平均急诊量。</w:t>
            </w:r>
          </w:p>
          <w:p w14:paraId="388C87F2">
            <w:pPr>
              <w:numPr>
                <w:ilvl w:val="0"/>
                <w:numId w:val="25"/>
              </w:numPr>
              <w:spacing w:line="300" w:lineRule="auto"/>
              <w:ind w:left="0" w:firstLine="0"/>
              <w:rPr>
                <w:rFonts w:hint="eastAsia" w:ascii="宋体" w:hAnsi="宋体" w:eastAsia="宋体" w:cs="宋体"/>
                <w:bCs/>
              </w:rPr>
            </w:pPr>
            <w:r>
              <w:rPr>
                <w:rFonts w:hint="eastAsia" w:ascii="宋体" w:hAnsi="宋体" w:eastAsia="宋体" w:cs="宋体"/>
                <w:bCs/>
              </w:rPr>
              <w:t>列表展示急诊I级患者门（急）诊总量和同环比分析、II级患者门（急）诊总量和同环比分析。</w:t>
            </w:r>
          </w:p>
          <w:p w14:paraId="5C8C14DB">
            <w:pPr>
              <w:numPr>
                <w:ilvl w:val="0"/>
                <w:numId w:val="25"/>
              </w:numPr>
              <w:spacing w:line="300" w:lineRule="auto"/>
              <w:ind w:left="0" w:firstLine="0"/>
              <w:rPr>
                <w:rFonts w:hint="eastAsia" w:ascii="宋体" w:hAnsi="宋体" w:eastAsia="宋体" w:cs="宋体"/>
                <w:bCs/>
              </w:rPr>
            </w:pPr>
            <w:r>
              <w:rPr>
                <w:rFonts w:hint="eastAsia" w:ascii="宋体" w:hAnsi="宋体" w:eastAsia="宋体" w:cs="宋体"/>
                <w:bCs/>
              </w:rPr>
              <w:t>以饼图方式展示I级、II级占比情况。</w:t>
            </w:r>
          </w:p>
          <w:p w14:paraId="40D64D49">
            <w:pPr>
              <w:numPr>
                <w:ilvl w:val="0"/>
                <w:numId w:val="25"/>
              </w:numPr>
              <w:spacing w:line="300" w:lineRule="auto"/>
              <w:ind w:left="0" w:firstLine="0"/>
              <w:rPr>
                <w:rFonts w:hint="eastAsia" w:ascii="宋体" w:hAnsi="宋体" w:eastAsia="宋体" w:cs="宋体"/>
                <w:bCs/>
              </w:rPr>
            </w:pPr>
            <w:r>
              <w:rPr>
                <w:rFonts w:hint="eastAsia" w:ascii="宋体" w:hAnsi="宋体" w:eastAsia="宋体" w:cs="宋体"/>
                <w:bCs/>
              </w:rPr>
              <w:t>展示患者明细，列表包含患者姓名、门诊总费用、就诊科室、主要诊断和主要手术。</w:t>
            </w:r>
          </w:p>
          <w:p w14:paraId="661DDA56">
            <w:pPr>
              <w:numPr>
                <w:ilvl w:val="0"/>
                <w:numId w:val="25"/>
              </w:numPr>
              <w:spacing w:line="300" w:lineRule="auto"/>
              <w:ind w:left="0" w:firstLine="0"/>
              <w:rPr>
                <w:rFonts w:hint="eastAsia" w:ascii="宋体" w:hAnsi="宋体" w:eastAsia="宋体" w:cs="宋体"/>
                <w:bCs/>
              </w:rPr>
            </w:pPr>
            <w:r>
              <w:rPr>
                <w:rFonts w:hint="eastAsia" w:ascii="宋体" w:hAnsi="宋体" w:eastAsia="宋体" w:cs="宋体"/>
                <w:bCs/>
              </w:rPr>
              <w:t>支持报表数据的导出功能。</w:t>
            </w:r>
          </w:p>
        </w:tc>
      </w:tr>
      <w:tr w14:paraId="5237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7" w:hRule="atLeast"/>
        </w:trPr>
        <w:tc>
          <w:tcPr>
            <w:tcW w:w="1314" w:type="dxa"/>
            <w:vMerge w:val="restart"/>
            <w:vAlign w:val="center"/>
          </w:tcPr>
          <w:p w14:paraId="3501823E">
            <w:pPr>
              <w:pStyle w:val="41"/>
              <w:spacing w:line="300" w:lineRule="auto"/>
              <w:ind w:left="0" w:firstLine="0"/>
              <w:jc w:val="center"/>
              <w:rPr>
                <w:rFonts w:hint="eastAsia" w:ascii="宋体" w:hAnsi="宋体" w:eastAsia="宋体" w:cs="宋体"/>
                <w:bCs/>
                <w:szCs w:val="24"/>
              </w:rPr>
            </w:pPr>
            <w:r>
              <w:rPr>
                <w:rFonts w:hint="eastAsia" w:ascii="宋体" w:hAnsi="宋体" w:eastAsia="宋体" w:cs="宋体"/>
                <w:bCs/>
              </w:rPr>
              <w:t>门诊</w:t>
            </w:r>
            <w:r>
              <w:rPr>
                <w:rFonts w:hint="eastAsia" w:ascii="宋体" w:hAnsi="宋体" w:eastAsia="宋体" w:cs="宋体"/>
                <w:bCs/>
                <w:szCs w:val="24"/>
              </w:rPr>
              <w:t>数据上报</w:t>
            </w:r>
          </w:p>
        </w:tc>
        <w:tc>
          <w:tcPr>
            <w:tcW w:w="906" w:type="dxa"/>
            <w:vMerge w:val="restart"/>
            <w:vAlign w:val="center"/>
          </w:tcPr>
          <w:p w14:paraId="02287F5A">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上报数据(含中/西医)</w:t>
            </w:r>
          </w:p>
        </w:tc>
        <w:tc>
          <w:tcPr>
            <w:tcW w:w="6180" w:type="dxa"/>
            <w:vAlign w:val="center"/>
          </w:tcPr>
          <w:p w14:paraId="300E8C57">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数据上报含HQMS西医门（急）诊诊疗信息页上报和TCMMS中医门（急）诊诊疗信息页上报：</w:t>
            </w:r>
          </w:p>
          <w:p w14:paraId="531AD336">
            <w:pPr>
              <w:rPr>
                <w:rFonts w:hint="eastAsia" w:ascii="宋体" w:hAnsi="宋体" w:cs="宋体"/>
              </w:rPr>
            </w:pPr>
            <w:r>
              <w:rPr>
                <w:rFonts w:hint="eastAsia" w:ascii="宋体" w:hAnsi="宋体" w:eastAsia="宋体" w:cs="宋体"/>
                <w:bCs/>
              </w:rPr>
              <w:t>西医上报：</w:t>
            </w:r>
          </w:p>
          <w:p w14:paraId="75418B4E">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1.数据预览：国家卫健委发布门（急）诊诊疗数据采集接口规范进行上报数据预览、校验及导出。</w:t>
            </w:r>
          </w:p>
          <w:p w14:paraId="2FB9B2EB">
            <w:pPr>
              <w:spacing w:line="300" w:lineRule="auto"/>
              <w:rPr>
                <w:rFonts w:hint="eastAsia" w:ascii="宋体" w:hAnsi="宋体" w:eastAsia="宋体" w:cs="宋体"/>
                <w:bCs/>
              </w:rPr>
            </w:pPr>
            <w:r>
              <w:rPr>
                <w:rFonts w:hint="eastAsia" w:ascii="宋体" w:hAnsi="宋体" w:eastAsia="宋体" w:cs="宋体"/>
                <w:bCs/>
              </w:rPr>
              <w:t>2.数据校验：依据国家卫健委发布门（急）诊诊疗数据采集接口规范页数据的对上报数据进行校验。支持通过病案号及现存问题描述进行检索；列表展示患者校验问题记录列表，含就诊号、患者姓名、就诊科室、就诊时间、规则类型及现存问题描述等；支持对具体诊疗信息页现存的数据问题，跳转到该患者的诊疗信息页详情页面中进行查询。</w:t>
            </w:r>
          </w:p>
        </w:tc>
      </w:tr>
      <w:tr w14:paraId="59DC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7" w:hRule="atLeast"/>
        </w:trPr>
        <w:tc>
          <w:tcPr>
            <w:tcW w:w="1314" w:type="dxa"/>
            <w:vMerge w:val="continue"/>
            <w:vAlign w:val="center"/>
          </w:tcPr>
          <w:p w14:paraId="73992B29">
            <w:pPr>
              <w:pStyle w:val="41"/>
              <w:spacing w:line="300" w:lineRule="auto"/>
              <w:ind w:left="0" w:firstLine="0"/>
              <w:jc w:val="center"/>
              <w:rPr>
                <w:rFonts w:hint="eastAsia" w:ascii="宋体" w:hAnsi="宋体" w:eastAsia="宋体" w:cs="宋体"/>
                <w:bCs/>
                <w:szCs w:val="24"/>
              </w:rPr>
            </w:pPr>
          </w:p>
        </w:tc>
        <w:tc>
          <w:tcPr>
            <w:tcW w:w="906" w:type="dxa"/>
            <w:vMerge w:val="continue"/>
            <w:vAlign w:val="center"/>
          </w:tcPr>
          <w:p w14:paraId="1C65198F">
            <w:pPr>
              <w:pStyle w:val="41"/>
              <w:spacing w:line="300" w:lineRule="auto"/>
              <w:ind w:left="0" w:firstLine="0"/>
              <w:rPr>
                <w:rFonts w:hint="eastAsia" w:ascii="宋体" w:hAnsi="宋体" w:eastAsia="宋体" w:cs="宋体"/>
                <w:bCs/>
                <w:szCs w:val="24"/>
              </w:rPr>
            </w:pPr>
          </w:p>
        </w:tc>
        <w:tc>
          <w:tcPr>
            <w:tcW w:w="6180" w:type="dxa"/>
            <w:vAlign w:val="center"/>
          </w:tcPr>
          <w:p w14:paraId="45DB6C22">
            <w:pPr>
              <w:spacing w:line="300" w:lineRule="auto"/>
              <w:rPr>
                <w:rFonts w:hint="eastAsia" w:ascii="宋体" w:hAnsi="宋体" w:eastAsia="宋体" w:cs="宋体"/>
                <w:bCs/>
              </w:rPr>
            </w:pPr>
            <w:r>
              <w:rPr>
                <w:rFonts w:hint="eastAsia" w:ascii="宋体" w:hAnsi="宋体" w:eastAsia="宋体" w:cs="宋体"/>
                <w:bCs/>
              </w:rPr>
              <w:t>中医上报：</w:t>
            </w:r>
          </w:p>
          <w:p w14:paraId="412B5B03">
            <w:pPr>
              <w:spacing w:line="300" w:lineRule="auto"/>
              <w:rPr>
                <w:rFonts w:hint="eastAsia" w:ascii="宋体" w:hAnsi="宋体" w:eastAsia="宋体" w:cs="宋体"/>
                <w:bCs/>
              </w:rPr>
            </w:pPr>
            <w:r>
              <w:rPr>
                <w:rFonts w:hint="eastAsia" w:ascii="宋体" w:hAnsi="宋体" w:eastAsia="宋体" w:cs="宋体"/>
                <w:bCs/>
              </w:rPr>
              <w:t>1、数据预览:根据国家发布的《中医门(急)诊诊疗信息页数据项采集接口标准》中进行数据预览。</w:t>
            </w:r>
          </w:p>
          <w:p w14:paraId="114568CF">
            <w:pPr>
              <w:spacing w:line="300" w:lineRule="auto"/>
              <w:rPr>
                <w:rFonts w:hint="eastAsia" w:ascii="宋体" w:hAnsi="宋体" w:eastAsia="宋体" w:cs="宋体"/>
                <w:bCs/>
              </w:rPr>
            </w:pPr>
            <w:r>
              <w:rPr>
                <w:rFonts w:hint="eastAsia" w:ascii="宋体" w:hAnsi="宋体" w:eastAsia="宋体" w:cs="宋体"/>
                <w:bCs/>
              </w:rPr>
              <w:t>2.数据校验:依据国家发布《中医门(急)诊诊疗信息页数据项采集接口标准》对上报数据进行校验。支持通过病案号及现存问题描述进行检索;列表展示含就诊号、患者姓名、就诊科室、就诊时间、规则类型及现存问题描述等;支持对具体诊疗信息页现存的数据问题，跳转到该患者的诊疗信息页详情页面中进行查询。</w:t>
            </w:r>
          </w:p>
          <w:p w14:paraId="6D311584">
            <w:pPr>
              <w:spacing w:line="300" w:lineRule="auto"/>
              <w:rPr>
                <w:rFonts w:hint="eastAsia" w:ascii="宋体" w:hAnsi="宋体" w:eastAsia="宋体" w:cs="宋体"/>
                <w:bCs/>
              </w:rPr>
            </w:pPr>
            <w:r>
              <w:rPr>
                <w:rFonts w:hint="eastAsia" w:ascii="宋体" w:hAnsi="宋体" w:eastAsia="宋体" w:cs="宋体"/>
                <w:bCs/>
              </w:rPr>
              <w:t>3.数据导出:系统提供 CSV、xlsx等多种数据格式的导出。支持自定义勾选是否压缩为ZIP格式。</w:t>
            </w:r>
          </w:p>
        </w:tc>
      </w:tr>
      <w:tr w14:paraId="70A93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314" w:type="dxa"/>
            <w:vMerge w:val="continue"/>
            <w:vAlign w:val="center"/>
          </w:tcPr>
          <w:p w14:paraId="5E31E9E9">
            <w:pPr>
              <w:pStyle w:val="41"/>
              <w:spacing w:line="300" w:lineRule="auto"/>
              <w:ind w:left="0" w:firstLine="0"/>
              <w:rPr>
                <w:rFonts w:hint="eastAsia" w:ascii="宋体" w:hAnsi="宋体" w:eastAsia="宋体" w:cs="宋体"/>
                <w:bCs/>
                <w:szCs w:val="24"/>
              </w:rPr>
            </w:pPr>
          </w:p>
        </w:tc>
        <w:tc>
          <w:tcPr>
            <w:tcW w:w="906" w:type="dxa"/>
            <w:vAlign w:val="center"/>
          </w:tcPr>
          <w:p w14:paraId="59582A33">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规则校验</w:t>
            </w:r>
          </w:p>
        </w:tc>
        <w:tc>
          <w:tcPr>
            <w:tcW w:w="6180" w:type="dxa"/>
            <w:vAlign w:val="center"/>
          </w:tcPr>
          <w:p w14:paraId="714FD3CD">
            <w:pPr>
              <w:pStyle w:val="41"/>
              <w:spacing w:line="300" w:lineRule="auto"/>
              <w:ind w:left="0" w:firstLine="0"/>
              <w:rPr>
                <w:rFonts w:hint="eastAsia" w:ascii="宋体" w:hAnsi="宋体" w:eastAsia="宋体" w:cs="宋体"/>
                <w:bCs/>
                <w:szCs w:val="24"/>
              </w:rPr>
            </w:pPr>
            <w:r>
              <w:rPr>
                <w:rFonts w:hint="eastAsia" w:ascii="宋体" w:hAnsi="宋体" w:eastAsia="宋体" w:cs="宋体"/>
                <w:sz w:val="24"/>
                <w:szCs w:val="24"/>
              </w:rPr>
              <w:t>★</w:t>
            </w:r>
            <w:r>
              <w:rPr>
                <w:rFonts w:hint="eastAsia" w:ascii="宋体" w:hAnsi="宋体" w:eastAsia="宋体" w:cs="宋体"/>
                <w:bCs/>
                <w:szCs w:val="24"/>
              </w:rPr>
              <w:t>数据校验</w:t>
            </w:r>
          </w:p>
          <w:p w14:paraId="78A4FEF4">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1、支持对中/西医门（急）诊信息页数据采集接口规范规则进行自定义配置。</w:t>
            </w:r>
          </w:p>
          <w:p w14:paraId="2D68B60D">
            <w:pPr>
              <w:spacing w:line="300" w:lineRule="auto"/>
              <w:rPr>
                <w:rFonts w:hint="eastAsia" w:ascii="宋体" w:hAnsi="宋体" w:eastAsia="宋体" w:cs="宋体"/>
                <w:bCs/>
              </w:rPr>
            </w:pPr>
            <w:r>
              <w:rPr>
                <w:rFonts w:hint="eastAsia" w:ascii="宋体" w:hAnsi="宋体" w:eastAsia="宋体" w:cs="宋体"/>
                <w:bCs/>
              </w:rPr>
              <w:t>2.支持现有规则检索查询。</w:t>
            </w:r>
          </w:p>
          <w:p w14:paraId="3121C451">
            <w:pPr>
              <w:pStyle w:val="41"/>
              <w:spacing w:line="300" w:lineRule="auto"/>
              <w:ind w:left="0" w:firstLine="0"/>
              <w:rPr>
                <w:rFonts w:hint="eastAsia" w:ascii="宋体" w:hAnsi="宋体" w:eastAsia="宋体" w:cs="宋体"/>
                <w:bCs/>
              </w:rPr>
            </w:pPr>
            <w:r>
              <w:rPr>
                <w:rFonts w:hint="eastAsia" w:ascii="宋体" w:hAnsi="宋体" w:eastAsia="宋体" w:cs="宋体"/>
                <w:bCs/>
                <w:szCs w:val="24"/>
              </w:rPr>
              <w:t>3.支持对规则进行新增、修改、删除等操作。</w:t>
            </w:r>
          </w:p>
        </w:tc>
      </w:tr>
      <w:tr w14:paraId="73BB9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314" w:type="dxa"/>
            <w:vMerge w:val="continue"/>
            <w:vAlign w:val="center"/>
          </w:tcPr>
          <w:p w14:paraId="728AE877">
            <w:pPr>
              <w:pStyle w:val="41"/>
              <w:spacing w:line="300" w:lineRule="auto"/>
              <w:ind w:left="0" w:firstLine="0"/>
              <w:rPr>
                <w:rFonts w:hint="eastAsia" w:ascii="宋体" w:hAnsi="宋体" w:eastAsia="宋体" w:cs="宋体"/>
                <w:bCs/>
                <w:szCs w:val="24"/>
              </w:rPr>
            </w:pPr>
          </w:p>
        </w:tc>
        <w:tc>
          <w:tcPr>
            <w:tcW w:w="906" w:type="dxa"/>
            <w:vAlign w:val="center"/>
          </w:tcPr>
          <w:p w14:paraId="52906BCA">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上报配置</w:t>
            </w:r>
          </w:p>
        </w:tc>
        <w:tc>
          <w:tcPr>
            <w:tcW w:w="6180" w:type="dxa"/>
            <w:vAlign w:val="center"/>
          </w:tcPr>
          <w:p w14:paraId="7244E4A0">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1.支持上报配置的自定义，支持查询检索已有的上报模板规范。</w:t>
            </w:r>
          </w:p>
          <w:p w14:paraId="2A0BC1D8">
            <w:pPr>
              <w:spacing w:line="300" w:lineRule="auto"/>
              <w:rPr>
                <w:rFonts w:hint="eastAsia" w:ascii="宋体" w:hAnsi="宋体" w:eastAsia="宋体" w:cs="宋体"/>
                <w:bCs/>
              </w:rPr>
            </w:pPr>
            <w:r>
              <w:rPr>
                <w:rFonts w:hint="eastAsia" w:ascii="宋体" w:hAnsi="宋体" w:eastAsia="宋体" w:cs="宋体"/>
                <w:bCs/>
              </w:rPr>
              <w:t>2.支持新增、编辑、删除上报模板规范；包括上报模板名称、编码、类型、描述、文件名称格式、上报数据项字段、上报数据字典项数据等。</w:t>
            </w:r>
          </w:p>
        </w:tc>
      </w:tr>
      <w:tr w14:paraId="4C0BD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1314" w:type="dxa"/>
            <w:vMerge w:val="restart"/>
            <w:vAlign w:val="center"/>
          </w:tcPr>
          <w:p w14:paraId="2BCAF540">
            <w:pPr>
              <w:pStyle w:val="41"/>
              <w:spacing w:line="300" w:lineRule="auto"/>
              <w:ind w:left="0" w:firstLine="0"/>
              <w:rPr>
                <w:rFonts w:hint="eastAsia" w:ascii="宋体" w:hAnsi="宋体" w:eastAsia="宋体" w:cs="宋体"/>
                <w:bCs/>
                <w:szCs w:val="24"/>
              </w:rPr>
            </w:pPr>
          </w:p>
          <w:p w14:paraId="644A9732">
            <w:pPr>
              <w:pStyle w:val="41"/>
              <w:spacing w:line="300" w:lineRule="auto"/>
              <w:ind w:left="0" w:firstLine="0"/>
              <w:rPr>
                <w:rFonts w:hint="eastAsia" w:ascii="宋体" w:hAnsi="宋体" w:eastAsia="宋体" w:cs="宋体"/>
                <w:bCs/>
                <w:szCs w:val="24"/>
              </w:rPr>
            </w:pPr>
          </w:p>
          <w:p w14:paraId="34312C07">
            <w:pPr>
              <w:pStyle w:val="41"/>
              <w:spacing w:line="300" w:lineRule="auto"/>
              <w:ind w:left="0" w:firstLine="0"/>
              <w:rPr>
                <w:rFonts w:hint="eastAsia" w:ascii="宋体" w:hAnsi="宋体" w:eastAsia="宋体" w:cs="宋体"/>
                <w:bCs/>
                <w:szCs w:val="24"/>
              </w:rPr>
            </w:pPr>
          </w:p>
          <w:p w14:paraId="23BBBA37">
            <w:pPr>
              <w:pStyle w:val="41"/>
              <w:spacing w:line="300" w:lineRule="auto"/>
              <w:ind w:left="0" w:firstLine="0"/>
              <w:rPr>
                <w:rFonts w:hint="eastAsia" w:ascii="宋体" w:hAnsi="宋体" w:eastAsia="宋体" w:cs="宋体"/>
                <w:bCs/>
                <w:szCs w:val="24"/>
              </w:rPr>
            </w:pPr>
          </w:p>
          <w:p w14:paraId="7E16277B">
            <w:pPr>
              <w:pStyle w:val="41"/>
              <w:spacing w:line="300" w:lineRule="auto"/>
              <w:ind w:left="0" w:firstLine="0"/>
              <w:rPr>
                <w:rFonts w:hint="eastAsia" w:ascii="宋体" w:hAnsi="宋体" w:eastAsia="宋体" w:cs="宋体"/>
                <w:bCs/>
                <w:szCs w:val="24"/>
              </w:rPr>
            </w:pPr>
          </w:p>
          <w:p w14:paraId="77AF1630">
            <w:pPr>
              <w:pStyle w:val="41"/>
              <w:spacing w:line="300" w:lineRule="auto"/>
              <w:ind w:left="0" w:firstLine="0"/>
              <w:rPr>
                <w:rFonts w:hint="eastAsia" w:ascii="宋体" w:hAnsi="宋体" w:eastAsia="宋体" w:cs="宋体"/>
                <w:bCs/>
                <w:szCs w:val="24"/>
              </w:rPr>
            </w:pPr>
          </w:p>
          <w:p w14:paraId="783D269C">
            <w:pPr>
              <w:pStyle w:val="41"/>
              <w:spacing w:line="300" w:lineRule="auto"/>
              <w:ind w:left="0" w:firstLine="0"/>
              <w:rPr>
                <w:rFonts w:hint="eastAsia" w:ascii="宋体" w:hAnsi="宋体" w:eastAsia="宋体" w:cs="宋体"/>
                <w:bCs/>
                <w:szCs w:val="24"/>
              </w:rPr>
            </w:pPr>
          </w:p>
          <w:p w14:paraId="4E7421C7">
            <w:pPr>
              <w:pStyle w:val="41"/>
              <w:spacing w:line="300" w:lineRule="auto"/>
              <w:ind w:left="0" w:firstLine="0"/>
              <w:rPr>
                <w:rFonts w:hint="eastAsia" w:ascii="宋体" w:hAnsi="宋体" w:eastAsia="宋体" w:cs="宋体"/>
                <w:bCs/>
                <w:szCs w:val="24"/>
              </w:rPr>
            </w:pPr>
          </w:p>
          <w:p w14:paraId="1FB60625">
            <w:pPr>
              <w:pStyle w:val="41"/>
              <w:spacing w:line="300" w:lineRule="auto"/>
              <w:ind w:left="0" w:firstLine="0"/>
              <w:rPr>
                <w:rFonts w:hint="eastAsia" w:ascii="宋体" w:hAnsi="宋体" w:eastAsia="宋体" w:cs="宋体"/>
                <w:bCs/>
                <w:szCs w:val="24"/>
              </w:rPr>
            </w:pPr>
          </w:p>
          <w:p w14:paraId="1A4AAF6F">
            <w:pPr>
              <w:pStyle w:val="41"/>
              <w:spacing w:line="300" w:lineRule="auto"/>
              <w:ind w:left="0" w:firstLine="0"/>
              <w:rPr>
                <w:rFonts w:hint="eastAsia" w:ascii="宋体" w:hAnsi="宋体" w:eastAsia="宋体" w:cs="宋体"/>
                <w:bCs/>
                <w:szCs w:val="24"/>
              </w:rPr>
            </w:pPr>
          </w:p>
          <w:p w14:paraId="2808C9D0">
            <w:pPr>
              <w:pStyle w:val="41"/>
              <w:spacing w:line="300" w:lineRule="auto"/>
              <w:ind w:left="0" w:firstLine="0"/>
              <w:rPr>
                <w:rFonts w:hint="eastAsia" w:ascii="宋体" w:hAnsi="宋体" w:eastAsia="宋体" w:cs="宋体"/>
                <w:bCs/>
                <w:szCs w:val="24"/>
              </w:rPr>
            </w:pPr>
          </w:p>
          <w:p w14:paraId="220E5384">
            <w:pPr>
              <w:pStyle w:val="41"/>
              <w:spacing w:line="300" w:lineRule="auto"/>
              <w:ind w:left="0" w:firstLine="0"/>
              <w:rPr>
                <w:rFonts w:hint="eastAsia" w:ascii="宋体" w:hAnsi="宋体" w:eastAsia="宋体" w:cs="宋体"/>
                <w:bCs/>
                <w:szCs w:val="24"/>
              </w:rPr>
            </w:pPr>
          </w:p>
          <w:p w14:paraId="326F7362">
            <w:pPr>
              <w:pStyle w:val="41"/>
              <w:spacing w:line="300" w:lineRule="auto"/>
              <w:ind w:left="0" w:firstLine="0"/>
              <w:rPr>
                <w:rFonts w:hint="eastAsia" w:ascii="宋体" w:hAnsi="宋体" w:eastAsia="宋体" w:cs="宋体"/>
                <w:bCs/>
                <w:szCs w:val="24"/>
              </w:rPr>
            </w:pPr>
          </w:p>
          <w:p w14:paraId="21255797">
            <w:pPr>
              <w:pStyle w:val="41"/>
              <w:spacing w:line="300" w:lineRule="auto"/>
              <w:ind w:left="0" w:firstLine="0"/>
              <w:rPr>
                <w:rFonts w:hint="eastAsia" w:ascii="宋体" w:hAnsi="宋体" w:eastAsia="宋体" w:cs="宋体"/>
                <w:bCs/>
                <w:szCs w:val="24"/>
              </w:rPr>
            </w:pPr>
          </w:p>
          <w:p w14:paraId="20AD65B6">
            <w:pPr>
              <w:pStyle w:val="41"/>
              <w:spacing w:line="300" w:lineRule="auto"/>
              <w:ind w:left="0" w:firstLine="0"/>
              <w:rPr>
                <w:rFonts w:hint="eastAsia" w:ascii="宋体" w:hAnsi="宋体" w:eastAsia="宋体" w:cs="宋体"/>
                <w:bCs/>
                <w:szCs w:val="24"/>
              </w:rPr>
            </w:pPr>
          </w:p>
          <w:p w14:paraId="3F9B9D1D">
            <w:pPr>
              <w:pStyle w:val="41"/>
              <w:spacing w:line="300" w:lineRule="auto"/>
              <w:ind w:left="0" w:firstLine="0"/>
              <w:rPr>
                <w:rFonts w:hint="eastAsia" w:ascii="宋体" w:hAnsi="宋体" w:eastAsia="宋体" w:cs="宋体"/>
                <w:bCs/>
                <w:szCs w:val="24"/>
              </w:rPr>
            </w:pPr>
          </w:p>
          <w:p w14:paraId="30985D42">
            <w:pPr>
              <w:pStyle w:val="41"/>
              <w:spacing w:line="300" w:lineRule="auto"/>
              <w:ind w:left="0" w:firstLine="0"/>
              <w:rPr>
                <w:rFonts w:hint="eastAsia" w:ascii="宋体" w:hAnsi="宋体" w:eastAsia="宋体" w:cs="宋体"/>
                <w:bCs/>
                <w:szCs w:val="24"/>
              </w:rPr>
            </w:pPr>
          </w:p>
          <w:p w14:paraId="6EF57AE7">
            <w:pPr>
              <w:pStyle w:val="41"/>
              <w:spacing w:line="300" w:lineRule="auto"/>
              <w:ind w:left="0" w:firstLine="0"/>
              <w:rPr>
                <w:rFonts w:hint="eastAsia" w:ascii="宋体" w:hAnsi="宋体" w:eastAsia="宋体" w:cs="宋体"/>
                <w:bCs/>
                <w:szCs w:val="24"/>
              </w:rPr>
            </w:pPr>
          </w:p>
          <w:p w14:paraId="785431D9">
            <w:pPr>
              <w:pStyle w:val="41"/>
              <w:spacing w:line="300" w:lineRule="auto"/>
              <w:ind w:left="0" w:firstLine="0"/>
              <w:rPr>
                <w:rFonts w:hint="eastAsia" w:ascii="宋体" w:hAnsi="宋体" w:eastAsia="宋体" w:cs="宋体"/>
                <w:bCs/>
                <w:szCs w:val="24"/>
              </w:rPr>
            </w:pPr>
          </w:p>
          <w:p w14:paraId="4FD3C8C4">
            <w:pPr>
              <w:pStyle w:val="41"/>
              <w:spacing w:line="300" w:lineRule="auto"/>
              <w:ind w:left="0" w:firstLine="0"/>
              <w:rPr>
                <w:rFonts w:hint="eastAsia" w:ascii="宋体" w:hAnsi="宋体" w:eastAsia="宋体" w:cs="宋体"/>
                <w:bCs/>
                <w:szCs w:val="24"/>
              </w:rPr>
            </w:pPr>
          </w:p>
          <w:p w14:paraId="7EA82C9C">
            <w:pPr>
              <w:pStyle w:val="41"/>
              <w:spacing w:line="300" w:lineRule="auto"/>
              <w:ind w:left="0" w:firstLine="0"/>
              <w:rPr>
                <w:rFonts w:hint="eastAsia" w:ascii="宋体" w:hAnsi="宋体" w:eastAsia="宋体" w:cs="宋体"/>
                <w:bCs/>
                <w:szCs w:val="24"/>
              </w:rPr>
            </w:pPr>
          </w:p>
          <w:p w14:paraId="0215E1F4">
            <w:pPr>
              <w:pStyle w:val="41"/>
              <w:spacing w:line="300" w:lineRule="auto"/>
              <w:ind w:left="0" w:firstLine="0"/>
              <w:rPr>
                <w:rFonts w:hint="eastAsia" w:ascii="宋体" w:hAnsi="宋体" w:eastAsia="宋体" w:cs="宋体"/>
                <w:bCs/>
                <w:szCs w:val="24"/>
              </w:rPr>
            </w:pPr>
            <w:r>
              <w:rPr>
                <w:rFonts w:hint="eastAsia" w:ascii="宋体" w:hAnsi="宋体" w:eastAsia="宋体" w:cs="宋体"/>
                <w:bCs/>
              </w:rPr>
              <w:t>门诊</w:t>
            </w:r>
            <w:r>
              <w:rPr>
                <w:rFonts w:hint="eastAsia" w:ascii="宋体" w:hAnsi="宋体" w:eastAsia="宋体" w:cs="宋体"/>
                <w:bCs/>
                <w:szCs w:val="24"/>
              </w:rPr>
              <w:t>配置中心</w:t>
            </w:r>
          </w:p>
        </w:tc>
        <w:tc>
          <w:tcPr>
            <w:tcW w:w="906" w:type="dxa"/>
            <w:vMerge w:val="restart"/>
            <w:vAlign w:val="center"/>
          </w:tcPr>
          <w:p w14:paraId="5CF8CB36">
            <w:pPr>
              <w:pStyle w:val="41"/>
              <w:spacing w:line="300" w:lineRule="auto"/>
              <w:ind w:left="0" w:firstLine="0"/>
              <w:rPr>
                <w:rFonts w:hint="eastAsia" w:ascii="宋体" w:hAnsi="宋体" w:eastAsia="宋体" w:cs="宋体"/>
                <w:bCs/>
                <w:szCs w:val="24"/>
              </w:rPr>
            </w:pPr>
          </w:p>
          <w:p w14:paraId="70BA45F5">
            <w:pPr>
              <w:pStyle w:val="41"/>
              <w:spacing w:line="300" w:lineRule="auto"/>
              <w:ind w:left="0" w:firstLine="0"/>
              <w:rPr>
                <w:rFonts w:hint="eastAsia" w:ascii="宋体" w:hAnsi="宋体" w:eastAsia="宋体" w:cs="宋体"/>
                <w:bCs/>
                <w:szCs w:val="24"/>
              </w:rPr>
            </w:pPr>
          </w:p>
          <w:p w14:paraId="40668376">
            <w:pPr>
              <w:pStyle w:val="41"/>
              <w:spacing w:line="300" w:lineRule="auto"/>
              <w:ind w:left="0" w:firstLine="0"/>
              <w:rPr>
                <w:rFonts w:hint="eastAsia" w:ascii="宋体" w:hAnsi="宋体" w:eastAsia="宋体" w:cs="宋体"/>
                <w:bCs/>
                <w:szCs w:val="24"/>
              </w:rPr>
            </w:pPr>
          </w:p>
          <w:p w14:paraId="0D212124">
            <w:pPr>
              <w:pStyle w:val="41"/>
              <w:spacing w:line="300" w:lineRule="auto"/>
              <w:ind w:left="0" w:firstLine="0"/>
              <w:rPr>
                <w:rFonts w:hint="eastAsia" w:ascii="宋体" w:hAnsi="宋体" w:eastAsia="宋体" w:cs="宋体"/>
                <w:bCs/>
                <w:szCs w:val="24"/>
              </w:rPr>
            </w:pPr>
          </w:p>
          <w:p w14:paraId="1CDE64BC">
            <w:pPr>
              <w:pStyle w:val="41"/>
              <w:spacing w:line="300" w:lineRule="auto"/>
              <w:ind w:left="0" w:firstLine="0"/>
              <w:rPr>
                <w:rFonts w:hint="eastAsia" w:ascii="宋体" w:hAnsi="宋体" w:eastAsia="宋体" w:cs="宋体"/>
                <w:bCs/>
                <w:szCs w:val="24"/>
              </w:rPr>
            </w:pPr>
          </w:p>
          <w:p w14:paraId="56445739">
            <w:pPr>
              <w:pStyle w:val="41"/>
              <w:spacing w:line="300" w:lineRule="auto"/>
              <w:ind w:left="0" w:firstLine="0"/>
              <w:rPr>
                <w:rFonts w:hint="eastAsia" w:ascii="宋体" w:hAnsi="宋体" w:eastAsia="宋体" w:cs="宋体"/>
                <w:bCs/>
                <w:szCs w:val="24"/>
              </w:rPr>
            </w:pPr>
          </w:p>
          <w:p w14:paraId="6960020C">
            <w:pPr>
              <w:pStyle w:val="41"/>
              <w:spacing w:line="300" w:lineRule="auto"/>
              <w:ind w:left="0" w:firstLine="0"/>
              <w:rPr>
                <w:rFonts w:hint="eastAsia" w:ascii="宋体" w:hAnsi="宋体" w:eastAsia="宋体" w:cs="宋体"/>
                <w:bCs/>
                <w:szCs w:val="24"/>
              </w:rPr>
            </w:pPr>
          </w:p>
          <w:p w14:paraId="3A0FAB6E">
            <w:pPr>
              <w:pStyle w:val="41"/>
              <w:spacing w:line="300" w:lineRule="auto"/>
              <w:ind w:left="0" w:firstLine="0"/>
              <w:rPr>
                <w:rFonts w:hint="eastAsia" w:ascii="宋体" w:hAnsi="宋体" w:eastAsia="宋体" w:cs="宋体"/>
                <w:bCs/>
                <w:szCs w:val="24"/>
              </w:rPr>
            </w:pPr>
          </w:p>
          <w:p w14:paraId="7E0ADDB4">
            <w:pPr>
              <w:pStyle w:val="41"/>
              <w:spacing w:line="300" w:lineRule="auto"/>
              <w:ind w:left="0" w:firstLine="0"/>
              <w:rPr>
                <w:rFonts w:hint="eastAsia" w:ascii="宋体" w:hAnsi="宋体" w:eastAsia="宋体" w:cs="宋体"/>
                <w:bCs/>
                <w:szCs w:val="24"/>
              </w:rPr>
            </w:pPr>
          </w:p>
          <w:p w14:paraId="7F157E65">
            <w:pPr>
              <w:pStyle w:val="41"/>
              <w:spacing w:line="300" w:lineRule="auto"/>
              <w:ind w:left="0" w:firstLine="0"/>
              <w:rPr>
                <w:rFonts w:hint="eastAsia" w:ascii="宋体" w:hAnsi="宋体" w:eastAsia="宋体" w:cs="宋体"/>
                <w:bCs/>
                <w:szCs w:val="24"/>
              </w:rPr>
            </w:pPr>
          </w:p>
          <w:p w14:paraId="273B6CEE">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系统配置</w:t>
            </w:r>
          </w:p>
        </w:tc>
        <w:tc>
          <w:tcPr>
            <w:tcW w:w="6180" w:type="dxa"/>
            <w:vAlign w:val="center"/>
          </w:tcPr>
          <w:p w14:paraId="37B27520">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诊疗信息页模块配置。</w:t>
            </w:r>
          </w:p>
          <w:p w14:paraId="15DC113B">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1.支持对诊疗信息页模块模型名称、标题、显示顺序、显示状态进行配置；支持新增、修改、删除模块模型配置。</w:t>
            </w:r>
          </w:p>
          <w:p w14:paraId="614E9936">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2.支持手动布局诊疗信息页页面，包括手动拖拽新增字段到具体位置、手动拖拽字段移动页面字段位置及删除页面字段等。</w:t>
            </w:r>
          </w:p>
        </w:tc>
      </w:tr>
      <w:tr w14:paraId="578CF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7" w:hRule="atLeast"/>
        </w:trPr>
        <w:tc>
          <w:tcPr>
            <w:tcW w:w="1314" w:type="dxa"/>
            <w:vMerge w:val="continue"/>
            <w:vAlign w:val="center"/>
          </w:tcPr>
          <w:p w14:paraId="7DC3E8D4">
            <w:pPr>
              <w:pStyle w:val="41"/>
              <w:spacing w:line="300" w:lineRule="auto"/>
              <w:ind w:left="0" w:firstLine="0"/>
              <w:rPr>
                <w:rFonts w:hint="eastAsia" w:ascii="宋体" w:hAnsi="宋体" w:eastAsia="宋体" w:cs="宋体"/>
                <w:bCs/>
                <w:szCs w:val="24"/>
              </w:rPr>
            </w:pPr>
          </w:p>
        </w:tc>
        <w:tc>
          <w:tcPr>
            <w:tcW w:w="906" w:type="dxa"/>
            <w:vMerge w:val="continue"/>
            <w:vAlign w:val="center"/>
          </w:tcPr>
          <w:p w14:paraId="36AE2EBA">
            <w:pPr>
              <w:pStyle w:val="41"/>
              <w:spacing w:line="300" w:lineRule="auto"/>
              <w:ind w:left="0" w:firstLine="0"/>
              <w:rPr>
                <w:rFonts w:hint="eastAsia" w:ascii="宋体" w:hAnsi="宋体" w:eastAsia="宋体" w:cs="宋体"/>
                <w:bCs/>
                <w:szCs w:val="24"/>
              </w:rPr>
            </w:pPr>
          </w:p>
        </w:tc>
        <w:tc>
          <w:tcPr>
            <w:tcW w:w="6180" w:type="dxa"/>
            <w:vAlign w:val="center"/>
          </w:tcPr>
          <w:p w14:paraId="22B82C2E">
            <w:pPr>
              <w:spacing w:line="300" w:lineRule="auto"/>
              <w:rPr>
                <w:rFonts w:hint="eastAsia" w:ascii="宋体" w:hAnsi="宋体" w:eastAsia="宋体" w:cs="宋体"/>
                <w:bCs/>
              </w:rPr>
            </w:pPr>
            <w:r>
              <w:rPr>
                <w:rFonts w:hint="eastAsia" w:ascii="宋体" w:hAnsi="宋体" w:eastAsia="宋体" w:cs="宋体"/>
                <w:bCs/>
              </w:rPr>
              <w:t>标准字典：对诊疗信息页有字段字典进行配置、编辑和检索查询。</w:t>
            </w:r>
          </w:p>
        </w:tc>
      </w:tr>
      <w:tr w14:paraId="27F4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27" w:hRule="atLeast"/>
        </w:trPr>
        <w:tc>
          <w:tcPr>
            <w:tcW w:w="1314" w:type="dxa"/>
            <w:vMerge w:val="continue"/>
            <w:vAlign w:val="center"/>
          </w:tcPr>
          <w:p w14:paraId="513DE33E">
            <w:pPr>
              <w:pStyle w:val="41"/>
              <w:spacing w:line="300" w:lineRule="auto"/>
              <w:ind w:left="0" w:firstLine="0"/>
              <w:rPr>
                <w:rFonts w:hint="eastAsia" w:ascii="宋体" w:hAnsi="宋体" w:eastAsia="宋体" w:cs="宋体"/>
                <w:bCs/>
                <w:szCs w:val="24"/>
              </w:rPr>
            </w:pPr>
          </w:p>
        </w:tc>
        <w:tc>
          <w:tcPr>
            <w:tcW w:w="906" w:type="dxa"/>
            <w:vMerge w:val="continue"/>
            <w:vAlign w:val="center"/>
          </w:tcPr>
          <w:p w14:paraId="53C8E439">
            <w:pPr>
              <w:pStyle w:val="41"/>
              <w:spacing w:line="300" w:lineRule="auto"/>
              <w:ind w:left="0" w:firstLine="0"/>
              <w:rPr>
                <w:rFonts w:hint="eastAsia" w:ascii="宋体" w:hAnsi="宋体" w:eastAsia="宋体" w:cs="宋体"/>
                <w:bCs/>
                <w:szCs w:val="24"/>
              </w:rPr>
            </w:pPr>
          </w:p>
        </w:tc>
        <w:tc>
          <w:tcPr>
            <w:tcW w:w="6180" w:type="dxa"/>
            <w:vAlign w:val="center"/>
          </w:tcPr>
          <w:p w14:paraId="4763B602">
            <w:pPr>
              <w:spacing w:line="300" w:lineRule="auto"/>
              <w:rPr>
                <w:rFonts w:hint="eastAsia" w:ascii="宋体" w:hAnsi="宋体" w:eastAsia="宋体" w:cs="宋体"/>
                <w:bCs/>
              </w:rPr>
            </w:pPr>
            <w:r>
              <w:rPr>
                <w:rFonts w:hint="eastAsia" w:ascii="宋体" w:hAnsi="宋体" w:eastAsia="宋体" w:cs="宋体"/>
                <w:bCs/>
              </w:rPr>
              <w:t>字典对照：支持对字段具体字典值进行对照配置。</w:t>
            </w:r>
          </w:p>
        </w:tc>
      </w:tr>
      <w:tr w14:paraId="21BE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2" w:hRule="atLeast"/>
        </w:trPr>
        <w:tc>
          <w:tcPr>
            <w:tcW w:w="1314" w:type="dxa"/>
            <w:vMerge w:val="continue"/>
            <w:vAlign w:val="center"/>
          </w:tcPr>
          <w:p w14:paraId="16AF757E">
            <w:pPr>
              <w:pStyle w:val="41"/>
              <w:spacing w:line="300" w:lineRule="auto"/>
              <w:ind w:left="0" w:firstLine="0"/>
              <w:rPr>
                <w:rFonts w:hint="eastAsia" w:ascii="宋体" w:hAnsi="宋体" w:eastAsia="宋体" w:cs="宋体"/>
                <w:bCs/>
                <w:szCs w:val="24"/>
              </w:rPr>
            </w:pPr>
          </w:p>
        </w:tc>
        <w:tc>
          <w:tcPr>
            <w:tcW w:w="906" w:type="dxa"/>
            <w:vMerge w:val="continue"/>
            <w:vAlign w:val="center"/>
          </w:tcPr>
          <w:p w14:paraId="7388EAAC">
            <w:pPr>
              <w:pStyle w:val="41"/>
              <w:spacing w:line="300" w:lineRule="auto"/>
              <w:ind w:left="0" w:firstLine="0"/>
              <w:rPr>
                <w:rFonts w:hint="eastAsia" w:ascii="宋体" w:hAnsi="宋体" w:eastAsia="宋体" w:cs="宋体"/>
                <w:bCs/>
                <w:szCs w:val="24"/>
              </w:rPr>
            </w:pPr>
          </w:p>
        </w:tc>
        <w:tc>
          <w:tcPr>
            <w:tcW w:w="6180" w:type="dxa"/>
            <w:vAlign w:val="center"/>
          </w:tcPr>
          <w:p w14:paraId="109540E8">
            <w:pPr>
              <w:spacing w:line="300" w:lineRule="auto"/>
              <w:rPr>
                <w:rFonts w:hint="eastAsia" w:ascii="宋体" w:hAnsi="宋体" w:eastAsia="宋体" w:cs="宋体"/>
                <w:bCs/>
              </w:rPr>
            </w:pPr>
            <w:r>
              <w:rPr>
                <w:rFonts w:hint="eastAsia" w:ascii="宋体" w:hAnsi="宋体" w:eastAsia="宋体" w:cs="宋体"/>
                <w:bCs/>
              </w:rPr>
              <w:t>打印配置：支持对打印模板进行配置管理。支持新增和启用打印模块，支持对现有模板进行查询、编辑维护等。</w:t>
            </w:r>
          </w:p>
        </w:tc>
      </w:tr>
      <w:tr w14:paraId="09234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7" w:hRule="atLeast"/>
        </w:trPr>
        <w:tc>
          <w:tcPr>
            <w:tcW w:w="1314" w:type="dxa"/>
            <w:vMerge w:val="continue"/>
            <w:vAlign w:val="center"/>
          </w:tcPr>
          <w:p w14:paraId="639B5823">
            <w:pPr>
              <w:pStyle w:val="41"/>
              <w:spacing w:line="300" w:lineRule="auto"/>
              <w:ind w:left="0" w:firstLine="0"/>
              <w:rPr>
                <w:rFonts w:hint="eastAsia" w:ascii="宋体" w:hAnsi="宋体" w:eastAsia="宋体" w:cs="宋体"/>
                <w:bCs/>
                <w:szCs w:val="24"/>
              </w:rPr>
            </w:pPr>
          </w:p>
        </w:tc>
        <w:tc>
          <w:tcPr>
            <w:tcW w:w="906" w:type="dxa"/>
            <w:vMerge w:val="continue"/>
            <w:vAlign w:val="center"/>
          </w:tcPr>
          <w:p w14:paraId="5A425598">
            <w:pPr>
              <w:pStyle w:val="41"/>
              <w:spacing w:line="300" w:lineRule="auto"/>
              <w:ind w:left="0" w:firstLine="0"/>
              <w:rPr>
                <w:rFonts w:hint="eastAsia" w:ascii="宋体" w:hAnsi="宋体" w:eastAsia="宋体" w:cs="宋体"/>
                <w:bCs/>
                <w:szCs w:val="24"/>
              </w:rPr>
            </w:pPr>
          </w:p>
        </w:tc>
        <w:tc>
          <w:tcPr>
            <w:tcW w:w="6180" w:type="dxa"/>
            <w:vAlign w:val="center"/>
          </w:tcPr>
          <w:p w14:paraId="1BBC7440">
            <w:pPr>
              <w:spacing w:line="300" w:lineRule="auto"/>
              <w:rPr>
                <w:rFonts w:hint="eastAsia" w:ascii="宋体" w:hAnsi="宋体" w:eastAsia="宋体" w:cs="宋体"/>
                <w:bCs/>
                <w:szCs w:val="21"/>
              </w:rPr>
            </w:pPr>
            <w:r>
              <w:rPr>
                <w:rFonts w:hint="eastAsia" w:ascii="宋体" w:hAnsi="宋体" w:eastAsia="宋体" w:cs="宋体"/>
                <w:bCs/>
                <w:szCs w:val="21"/>
              </w:rPr>
              <w:t>科室对照：</w:t>
            </w:r>
            <w:r>
              <w:rPr>
                <w:rFonts w:hint="eastAsia" w:ascii="宋体" w:hAnsi="宋体" w:eastAsia="宋体" w:cs="宋体"/>
                <w:szCs w:val="21"/>
              </w:rPr>
              <w:t>对与第三方科室对照情况进行增删改查配置。</w:t>
            </w:r>
          </w:p>
        </w:tc>
      </w:tr>
      <w:tr w14:paraId="6AD14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2" w:hRule="atLeast"/>
        </w:trPr>
        <w:tc>
          <w:tcPr>
            <w:tcW w:w="1314" w:type="dxa"/>
            <w:vMerge w:val="continue"/>
            <w:vAlign w:val="center"/>
          </w:tcPr>
          <w:p w14:paraId="1C6FA068">
            <w:pPr>
              <w:pStyle w:val="41"/>
              <w:spacing w:line="300" w:lineRule="auto"/>
              <w:ind w:left="0" w:firstLine="0"/>
              <w:rPr>
                <w:rFonts w:hint="eastAsia" w:ascii="宋体" w:hAnsi="宋体" w:eastAsia="宋体" w:cs="宋体"/>
                <w:bCs/>
                <w:szCs w:val="24"/>
              </w:rPr>
            </w:pPr>
          </w:p>
        </w:tc>
        <w:tc>
          <w:tcPr>
            <w:tcW w:w="906" w:type="dxa"/>
            <w:vMerge w:val="continue"/>
            <w:vAlign w:val="center"/>
          </w:tcPr>
          <w:p w14:paraId="792BFF12">
            <w:pPr>
              <w:pStyle w:val="41"/>
              <w:spacing w:line="300" w:lineRule="auto"/>
              <w:ind w:left="0" w:firstLine="0"/>
              <w:rPr>
                <w:rFonts w:hint="eastAsia" w:ascii="宋体" w:hAnsi="宋体" w:eastAsia="宋体" w:cs="宋体"/>
                <w:bCs/>
                <w:szCs w:val="24"/>
              </w:rPr>
            </w:pPr>
          </w:p>
        </w:tc>
        <w:tc>
          <w:tcPr>
            <w:tcW w:w="6180" w:type="dxa"/>
            <w:vAlign w:val="center"/>
          </w:tcPr>
          <w:p w14:paraId="48A1E404">
            <w:pPr>
              <w:spacing w:line="300" w:lineRule="auto"/>
              <w:rPr>
                <w:rFonts w:hint="eastAsia" w:ascii="宋体" w:hAnsi="宋体" w:eastAsia="宋体" w:cs="宋体"/>
                <w:bCs/>
                <w:szCs w:val="21"/>
              </w:rPr>
            </w:pPr>
            <w:r>
              <w:rPr>
                <w:rFonts w:hint="eastAsia" w:ascii="宋体" w:hAnsi="宋体" w:eastAsia="宋体" w:cs="宋体"/>
                <w:bCs/>
                <w:szCs w:val="21"/>
              </w:rPr>
              <w:t>密码管理：</w:t>
            </w:r>
            <w:r>
              <w:rPr>
                <w:rFonts w:hint="eastAsia" w:ascii="宋体" w:hAnsi="宋体" w:eastAsia="宋体" w:cs="宋体"/>
                <w:szCs w:val="21"/>
              </w:rPr>
              <w:t>系统强密码配置，支持强密码功能开关、用户密码编辑、密码权限配置等。</w:t>
            </w:r>
          </w:p>
        </w:tc>
      </w:tr>
      <w:tr w14:paraId="41A3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5" w:hRule="atLeast"/>
        </w:trPr>
        <w:tc>
          <w:tcPr>
            <w:tcW w:w="1314" w:type="dxa"/>
            <w:vMerge w:val="continue"/>
            <w:vAlign w:val="center"/>
          </w:tcPr>
          <w:p w14:paraId="7D43F8A6">
            <w:pPr>
              <w:pStyle w:val="41"/>
              <w:spacing w:line="300" w:lineRule="auto"/>
              <w:ind w:left="0" w:firstLine="0"/>
              <w:rPr>
                <w:rFonts w:hint="eastAsia" w:ascii="宋体" w:hAnsi="宋体" w:eastAsia="宋体" w:cs="宋体"/>
                <w:bCs/>
                <w:szCs w:val="24"/>
              </w:rPr>
            </w:pPr>
          </w:p>
        </w:tc>
        <w:tc>
          <w:tcPr>
            <w:tcW w:w="906" w:type="dxa"/>
            <w:vMerge w:val="continue"/>
            <w:vAlign w:val="center"/>
          </w:tcPr>
          <w:p w14:paraId="30693B76">
            <w:pPr>
              <w:pStyle w:val="41"/>
              <w:spacing w:line="300" w:lineRule="auto"/>
              <w:ind w:left="0" w:firstLine="0"/>
              <w:rPr>
                <w:rFonts w:hint="eastAsia" w:ascii="宋体" w:hAnsi="宋体" w:eastAsia="宋体" w:cs="宋体"/>
                <w:bCs/>
                <w:szCs w:val="24"/>
              </w:rPr>
            </w:pPr>
          </w:p>
        </w:tc>
        <w:tc>
          <w:tcPr>
            <w:tcW w:w="6180" w:type="dxa"/>
            <w:vAlign w:val="center"/>
          </w:tcPr>
          <w:p w14:paraId="0B1FF5B3">
            <w:pPr>
              <w:spacing w:line="300" w:lineRule="auto"/>
              <w:rPr>
                <w:rFonts w:hint="eastAsia" w:ascii="宋体" w:hAnsi="宋体" w:eastAsia="宋体" w:cs="宋体"/>
                <w:bCs/>
                <w:szCs w:val="21"/>
              </w:rPr>
            </w:pPr>
            <w:r>
              <w:rPr>
                <w:rFonts w:hint="eastAsia" w:ascii="宋体" w:hAnsi="宋体" w:eastAsia="宋体" w:cs="宋体"/>
                <w:bCs/>
                <w:szCs w:val="21"/>
              </w:rPr>
              <w:t>菜单管理：</w:t>
            </w:r>
            <w:r>
              <w:rPr>
                <w:rFonts w:hint="eastAsia" w:ascii="宋体" w:hAnsi="宋体" w:eastAsia="宋体" w:cs="宋体"/>
                <w:szCs w:val="21"/>
              </w:rPr>
              <w:t>系统菜单自定义配置。</w:t>
            </w:r>
          </w:p>
        </w:tc>
      </w:tr>
      <w:tr w14:paraId="3B040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74" w:hRule="atLeast"/>
        </w:trPr>
        <w:tc>
          <w:tcPr>
            <w:tcW w:w="1314" w:type="dxa"/>
            <w:vMerge w:val="continue"/>
            <w:vAlign w:val="center"/>
          </w:tcPr>
          <w:p w14:paraId="17BDD6D5">
            <w:pPr>
              <w:pStyle w:val="41"/>
              <w:spacing w:line="300" w:lineRule="auto"/>
              <w:ind w:left="0" w:firstLine="0"/>
              <w:rPr>
                <w:rFonts w:hint="eastAsia" w:ascii="宋体" w:hAnsi="宋体" w:eastAsia="宋体" w:cs="宋体"/>
                <w:bCs/>
                <w:szCs w:val="24"/>
              </w:rPr>
            </w:pPr>
          </w:p>
        </w:tc>
        <w:tc>
          <w:tcPr>
            <w:tcW w:w="906" w:type="dxa"/>
            <w:vMerge w:val="restart"/>
            <w:vAlign w:val="center"/>
          </w:tcPr>
          <w:p w14:paraId="148FB8A5">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组织管理</w:t>
            </w:r>
          </w:p>
        </w:tc>
        <w:tc>
          <w:tcPr>
            <w:tcW w:w="6180" w:type="dxa"/>
            <w:vAlign w:val="center"/>
          </w:tcPr>
          <w:p w14:paraId="249625CA">
            <w:pPr>
              <w:spacing w:line="300" w:lineRule="auto"/>
              <w:rPr>
                <w:rFonts w:hint="eastAsia" w:ascii="宋体" w:hAnsi="宋体" w:eastAsia="宋体" w:cs="宋体"/>
                <w:bCs/>
                <w:szCs w:val="21"/>
              </w:rPr>
            </w:pPr>
            <w:r>
              <w:rPr>
                <w:rFonts w:hint="eastAsia" w:ascii="宋体" w:hAnsi="宋体" w:eastAsia="宋体" w:cs="宋体"/>
                <w:bCs/>
                <w:szCs w:val="21"/>
              </w:rPr>
              <w:t>组织管理：</w:t>
            </w:r>
            <w:r>
              <w:rPr>
                <w:rFonts w:hint="eastAsia" w:ascii="宋体" w:hAnsi="宋体" w:eastAsia="宋体" w:cs="宋体"/>
                <w:szCs w:val="21"/>
              </w:rPr>
              <w:t>对医疗机构组织进行管理，包括增删改查、启用状态配置。</w:t>
            </w:r>
          </w:p>
        </w:tc>
      </w:tr>
      <w:tr w14:paraId="5FE37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74" w:hRule="atLeast"/>
        </w:trPr>
        <w:tc>
          <w:tcPr>
            <w:tcW w:w="1314" w:type="dxa"/>
            <w:vMerge w:val="continue"/>
            <w:vAlign w:val="center"/>
          </w:tcPr>
          <w:p w14:paraId="6F1A15EB">
            <w:pPr>
              <w:pStyle w:val="41"/>
              <w:spacing w:line="300" w:lineRule="auto"/>
              <w:ind w:left="0" w:firstLine="0"/>
              <w:rPr>
                <w:rFonts w:hint="eastAsia" w:ascii="宋体" w:hAnsi="宋体" w:eastAsia="宋体" w:cs="宋体"/>
                <w:bCs/>
                <w:szCs w:val="24"/>
              </w:rPr>
            </w:pPr>
          </w:p>
        </w:tc>
        <w:tc>
          <w:tcPr>
            <w:tcW w:w="906" w:type="dxa"/>
            <w:vMerge w:val="continue"/>
            <w:vAlign w:val="center"/>
          </w:tcPr>
          <w:p w14:paraId="394A36A1">
            <w:pPr>
              <w:pStyle w:val="41"/>
              <w:spacing w:line="300" w:lineRule="auto"/>
              <w:ind w:left="0" w:firstLine="0"/>
              <w:rPr>
                <w:rFonts w:hint="eastAsia" w:ascii="宋体" w:hAnsi="宋体" w:eastAsia="宋体" w:cs="宋体"/>
                <w:bCs/>
                <w:szCs w:val="24"/>
              </w:rPr>
            </w:pPr>
          </w:p>
        </w:tc>
        <w:tc>
          <w:tcPr>
            <w:tcW w:w="6180" w:type="dxa"/>
            <w:vAlign w:val="center"/>
          </w:tcPr>
          <w:p w14:paraId="11D9E0DE">
            <w:pPr>
              <w:spacing w:line="300" w:lineRule="auto"/>
              <w:rPr>
                <w:rFonts w:hint="eastAsia" w:ascii="宋体" w:hAnsi="宋体" w:eastAsia="宋体" w:cs="宋体"/>
                <w:bCs/>
                <w:szCs w:val="21"/>
              </w:rPr>
            </w:pPr>
            <w:r>
              <w:rPr>
                <w:rFonts w:hint="eastAsia" w:ascii="宋体" w:hAnsi="宋体" w:eastAsia="宋体" w:cs="宋体"/>
                <w:bCs/>
                <w:szCs w:val="21"/>
              </w:rPr>
              <w:t>科室管理：</w:t>
            </w:r>
            <w:r>
              <w:rPr>
                <w:rFonts w:hint="eastAsia" w:ascii="宋体" w:hAnsi="宋体" w:eastAsia="宋体" w:cs="宋体"/>
                <w:szCs w:val="21"/>
              </w:rPr>
              <w:t>对医院科室名称、编码、类型及启用状态等进行增删改查管理配置。</w:t>
            </w:r>
          </w:p>
        </w:tc>
      </w:tr>
      <w:tr w14:paraId="724C1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55" w:hRule="atLeast"/>
        </w:trPr>
        <w:tc>
          <w:tcPr>
            <w:tcW w:w="1314" w:type="dxa"/>
            <w:vMerge w:val="continue"/>
            <w:vAlign w:val="center"/>
          </w:tcPr>
          <w:p w14:paraId="4E9EAB78">
            <w:pPr>
              <w:pStyle w:val="41"/>
              <w:spacing w:line="300" w:lineRule="auto"/>
              <w:ind w:left="0" w:firstLine="0"/>
              <w:rPr>
                <w:rFonts w:hint="eastAsia" w:ascii="宋体" w:hAnsi="宋体" w:eastAsia="宋体" w:cs="宋体"/>
                <w:bCs/>
                <w:szCs w:val="24"/>
              </w:rPr>
            </w:pPr>
          </w:p>
        </w:tc>
        <w:tc>
          <w:tcPr>
            <w:tcW w:w="906" w:type="dxa"/>
            <w:vMerge w:val="continue"/>
            <w:vAlign w:val="center"/>
          </w:tcPr>
          <w:p w14:paraId="2400D365">
            <w:pPr>
              <w:pStyle w:val="41"/>
              <w:spacing w:line="300" w:lineRule="auto"/>
              <w:ind w:left="0" w:firstLine="0"/>
              <w:rPr>
                <w:rFonts w:hint="eastAsia" w:ascii="宋体" w:hAnsi="宋体" w:eastAsia="宋体" w:cs="宋体"/>
                <w:bCs/>
                <w:szCs w:val="24"/>
              </w:rPr>
            </w:pPr>
          </w:p>
        </w:tc>
        <w:tc>
          <w:tcPr>
            <w:tcW w:w="6180" w:type="dxa"/>
            <w:vAlign w:val="center"/>
          </w:tcPr>
          <w:p w14:paraId="2DCBFBE8">
            <w:pPr>
              <w:spacing w:line="300" w:lineRule="auto"/>
              <w:rPr>
                <w:rFonts w:hint="eastAsia" w:ascii="宋体" w:hAnsi="宋体" w:eastAsia="宋体" w:cs="宋体"/>
                <w:bCs/>
                <w:szCs w:val="21"/>
              </w:rPr>
            </w:pPr>
            <w:r>
              <w:rPr>
                <w:rFonts w:hint="eastAsia" w:ascii="宋体" w:hAnsi="宋体" w:eastAsia="宋体" w:cs="宋体"/>
                <w:bCs/>
                <w:szCs w:val="21"/>
              </w:rPr>
              <w:t>医师管理：</w:t>
            </w:r>
            <w:r>
              <w:rPr>
                <w:rFonts w:hint="eastAsia" w:ascii="宋体" w:hAnsi="宋体" w:eastAsia="宋体" w:cs="宋体"/>
                <w:szCs w:val="21"/>
              </w:rPr>
              <w:t>对医师名称、编码、类型及启用状态等进行增删改查管理配置。</w:t>
            </w:r>
          </w:p>
        </w:tc>
      </w:tr>
      <w:tr w14:paraId="58B97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67" w:hRule="atLeast"/>
        </w:trPr>
        <w:tc>
          <w:tcPr>
            <w:tcW w:w="1314" w:type="dxa"/>
            <w:vMerge w:val="continue"/>
            <w:vAlign w:val="center"/>
          </w:tcPr>
          <w:p w14:paraId="6A6E824E">
            <w:pPr>
              <w:pStyle w:val="41"/>
              <w:spacing w:line="300" w:lineRule="auto"/>
              <w:ind w:left="0" w:firstLine="0"/>
              <w:rPr>
                <w:rFonts w:hint="eastAsia" w:ascii="宋体" w:hAnsi="宋体" w:eastAsia="宋体" w:cs="宋体"/>
                <w:bCs/>
                <w:szCs w:val="24"/>
              </w:rPr>
            </w:pPr>
          </w:p>
        </w:tc>
        <w:tc>
          <w:tcPr>
            <w:tcW w:w="906" w:type="dxa"/>
            <w:vMerge w:val="continue"/>
            <w:vAlign w:val="center"/>
          </w:tcPr>
          <w:p w14:paraId="36C9D4A4">
            <w:pPr>
              <w:pStyle w:val="41"/>
              <w:spacing w:line="300" w:lineRule="auto"/>
              <w:ind w:left="0" w:firstLine="0"/>
              <w:rPr>
                <w:rFonts w:hint="eastAsia" w:ascii="宋体" w:hAnsi="宋体" w:eastAsia="宋体" w:cs="宋体"/>
                <w:bCs/>
                <w:szCs w:val="24"/>
              </w:rPr>
            </w:pPr>
          </w:p>
        </w:tc>
        <w:tc>
          <w:tcPr>
            <w:tcW w:w="6180" w:type="dxa"/>
            <w:vAlign w:val="center"/>
          </w:tcPr>
          <w:p w14:paraId="3B9714A3">
            <w:pPr>
              <w:spacing w:line="300" w:lineRule="auto"/>
              <w:rPr>
                <w:rFonts w:hint="eastAsia" w:ascii="宋体" w:hAnsi="宋体" w:eastAsia="宋体" w:cs="宋体"/>
                <w:bCs/>
                <w:szCs w:val="21"/>
              </w:rPr>
            </w:pPr>
            <w:r>
              <w:rPr>
                <w:rFonts w:hint="eastAsia" w:ascii="宋体" w:hAnsi="宋体" w:eastAsia="宋体" w:cs="宋体"/>
                <w:bCs/>
                <w:szCs w:val="21"/>
              </w:rPr>
              <w:t>用户管理：</w:t>
            </w:r>
            <w:r>
              <w:rPr>
                <w:rFonts w:hint="eastAsia" w:ascii="宋体" w:hAnsi="宋体" w:eastAsia="宋体" w:cs="宋体"/>
                <w:szCs w:val="21"/>
              </w:rPr>
              <w:t>对用户名称、编码、类型、启用状态及用户权限等进行增删改查管理配置。</w:t>
            </w:r>
          </w:p>
        </w:tc>
      </w:tr>
      <w:tr w14:paraId="53B9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67" w:hRule="atLeast"/>
        </w:trPr>
        <w:tc>
          <w:tcPr>
            <w:tcW w:w="1314" w:type="dxa"/>
            <w:vMerge w:val="continue"/>
            <w:vAlign w:val="center"/>
          </w:tcPr>
          <w:p w14:paraId="2DE8490D">
            <w:pPr>
              <w:pStyle w:val="41"/>
              <w:spacing w:line="300" w:lineRule="auto"/>
              <w:ind w:left="0" w:firstLine="0"/>
              <w:rPr>
                <w:rFonts w:hint="eastAsia" w:ascii="宋体" w:hAnsi="宋体" w:eastAsia="宋体" w:cs="宋体"/>
                <w:bCs/>
                <w:szCs w:val="24"/>
              </w:rPr>
            </w:pPr>
          </w:p>
        </w:tc>
        <w:tc>
          <w:tcPr>
            <w:tcW w:w="906" w:type="dxa"/>
            <w:vMerge w:val="continue"/>
            <w:vAlign w:val="center"/>
          </w:tcPr>
          <w:p w14:paraId="342DF95C">
            <w:pPr>
              <w:pStyle w:val="41"/>
              <w:spacing w:line="300" w:lineRule="auto"/>
              <w:ind w:left="0" w:firstLine="0"/>
              <w:rPr>
                <w:rFonts w:hint="eastAsia" w:ascii="宋体" w:hAnsi="宋体" w:eastAsia="宋体" w:cs="宋体"/>
                <w:bCs/>
                <w:szCs w:val="24"/>
              </w:rPr>
            </w:pPr>
          </w:p>
        </w:tc>
        <w:tc>
          <w:tcPr>
            <w:tcW w:w="6180" w:type="dxa"/>
            <w:vAlign w:val="center"/>
          </w:tcPr>
          <w:p w14:paraId="446035E0">
            <w:pPr>
              <w:spacing w:line="300" w:lineRule="auto"/>
              <w:rPr>
                <w:rFonts w:hint="eastAsia" w:ascii="宋体" w:hAnsi="宋体" w:eastAsia="宋体" w:cs="宋体"/>
                <w:bCs/>
                <w:szCs w:val="21"/>
              </w:rPr>
            </w:pPr>
            <w:r>
              <w:rPr>
                <w:rFonts w:hint="eastAsia" w:ascii="宋体" w:hAnsi="宋体" w:eastAsia="宋体" w:cs="宋体"/>
                <w:bCs/>
                <w:szCs w:val="21"/>
              </w:rPr>
              <w:t>角色管理：</w:t>
            </w:r>
            <w:r>
              <w:rPr>
                <w:rFonts w:hint="eastAsia" w:ascii="宋体" w:hAnsi="宋体" w:eastAsia="宋体" w:cs="宋体"/>
                <w:szCs w:val="21"/>
              </w:rPr>
              <w:t>对角色名称、编码、类型、启用状态及角色权限等进行增删改查管理配置。</w:t>
            </w:r>
          </w:p>
        </w:tc>
      </w:tr>
      <w:tr w14:paraId="01A45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2" w:hRule="atLeast"/>
        </w:trPr>
        <w:tc>
          <w:tcPr>
            <w:tcW w:w="1314" w:type="dxa"/>
            <w:vMerge w:val="continue"/>
            <w:vAlign w:val="center"/>
          </w:tcPr>
          <w:p w14:paraId="7BA96494">
            <w:pPr>
              <w:pStyle w:val="41"/>
              <w:spacing w:line="300" w:lineRule="auto"/>
              <w:ind w:left="0" w:firstLine="0"/>
              <w:rPr>
                <w:rFonts w:hint="eastAsia" w:ascii="宋体" w:hAnsi="宋体" w:eastAsia="宋体" w:cs="宋体"/>
                <w:bCs/>
                <w:szCs w:val="24"/>
              </w:rPr>
            </w:pPr>
          </w:p>
        </w:tc>
        <w:tc>
          <w:tcPr>
            <w:tcW w:w="906" w:type="dxa"/>
            <w:vAlign w:val="center"/>
          </w:tcPr>
          <w:p w14:paraId="484FB75C">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数据源管理</w:t>
            </w:r>
          </w:p>
        </w:tc>
        <w:tc>
          <w:tcPr>
            <w:tcW w:w="6180" w:type="dxa"/>
            <w:vAlign w:val="center"/>
          </w:tcPr>
          <w:p w14:paraId="35148615">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1.多套数据源配置：数据源配置包括：数据源名称、数据源编码、数据源类型、数据源驱动、数据源地址、端口、数据库名称、用户名、密码等等。</w:t>
            </w:r>
          </w:p>
          <w:p w14:paraId="5560A892">
            <w:pPr>
              <w:spacing w:line="300" w:lineRule="auto"/>
              <w:rPr>
                <w:rFonts w:hint="eastAsia" w:ascii="宋体" w:hAnsi="宋体" w:eastAsia="宋体" w:cs="宋体"/>
                <w:bCs/>
              </w:rPr>
            </w:pPr>
            <w:r>
              <w:rPr>
                <w:rFonts w:hint="eastAsia" w:ascii="宋体" w:hAnsi="宋体" w:eastAsia="宋体" w:cs="宋体"/>
                <w:bCs/>
              </w:rPr>
              <w:t>2.定时任务管理：支持配置数据定时同步任务详情；支持查看导出任务列表；支持查询任务执行日志等。</w:t>
            </w:r>
          </w:p>
          <w:p w14:paraId="6791784E">
            <w:pPr>
              <w:pStyle w:val="41"/>
              <w:spacing w:line="300" w:lineRule="auto"/>
              <w:ind w:left="0" w:firstLine="0"/>
              <w:rPr>
                <w:rFonts w:hint="eastAsia" w:ascii="宋体" w:hAnsi="宋体" w:eastAsia="宋体" w:cs="宋体"/>
                <w:bCs/>
              </w:rPr>
            </w:pPr>
            <w:r>
              <w:rPr>
                <w:rFonts w:hint="eastAsia" w:ascii="宋体" w:hAnsi="宋体" w:eastAsia="宋体" w:cs="宋体"/>
                <w:bCs/>
                <w:szCs w:val="24"/>
              </w:rPr>
              <w:t>3.数据库拉取及数据库推送配置：其中数据拉取同步配置，包括支持配置同步字段、数据预览、同步测试等。</w:t>
            </w:r>
          </w:p>
          <w:p w14:paraId="7D77A3A9">
            <w:pPr>
              <w:spacing w:line="300" w:lineRule="auto"/>
              <w:rPr>
                <w:rFonts w:hint="eastAsia" w:ascii="宋体" w:hAnsi="宋体" w:cs="宋体"/>
              </w:rPr>
            </w:pPr>
            <w:r>
              <w:rPr>
                <w:rFonts w:hint="eastAsia" w:ascii="宋体" w:hAnsi="宋体" w:eastAsia="宋体" w:cs="宋体"/>
                <w:bCs/>
              </w:rPr>
              <w:t>4.支持展示数据同步日志。</w:t>
            </w:r>
          </w:p>
        </w:tc>
      </w:tr>
      <w:tr w14:paraId="304F8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314" w:type="dxa"/>
            <w:vMerge w:val="continue"/>
            <w:vAlign w:val="center"/>
          </w:tcPr>
          <w:p w14:paraId="6262C5D9">
            <w:pPr>
              <w:pStyle w:val="41"/>
              <w:spacing w:line="300" w:lineRule="auto"/>
              <w:ind w:left="0" w:firstLine="0"/>
              <w:rPr>
                <w:rFonts w:hint="eastAsia" w:ascii="宋体" w:hAnsi="宋体" w:eastAsia="宋体" w:cs="宋体"/>
                <w:bCs/>
                <w:szCs w:val="24"/>
              </w:rPr>
            </w:pPr>
          </w:p>
        </w:tc>
        <w:tc>
          <w:tcPr>
            <w:tcW w:w="906" w:type="dxa"/>
            <w:vMerge w:val="restart"/>
            <w:vAlign w:val="center"/>
          </w:tcPr>
          <w:p w14:paraId="680F7AC1">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字典管理</w:t>
            </w:r>
          </w:p>
        </w:tc>
        <w:tc>
          <w:tcPr>
            <w:tcW w:w="6180" w:type="dxa"/>
            <w:vAlign w:val="center"/>
          </w:tcPr>
          <w:p w14:paraId="4F277112">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诊断编码维护：</w:t>
            </w:r>
          </w:p>
          <w:p w14:paraId="31818B36">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1.支持对诊断编码进行维护管理，包含诊断编码、诊断名称、拼音码、停用/启用状态等，支持编辑修改、新增及手动导入、编码对照等。</w:t>
            </w:r>
          </w:p>
          <w:p w14:paraId="632442AC">
            <w:pPr>
              <w:spacing w:line="300" w:lineRule="auto"/>
              <w:rPr>
                <w:rFonts w:hint="eastAsia" w:ascii="宋体" w:hAnsi="宋体" w:eastAsia="宋体" w:cs="宋体"/>
                <w:bCs/>
              </w:rPr>
            </w:pPr>
            <w:r>
              <w:rPr>
                <w:rFonts w:hint="eastAsia" w:ascii="宋体" w:hAnsi="宋体" w:eastAsia="宋体" w:cs="宋体"/>
                <w:bCs/>
              </w:rPr>
              <w:t>2.支持通过诊断编码、诊断名称、拼音码、诊断编码版本、是否中医编码、编码启用状态进行检索查询。</w:t>
            </w:r>
          </w:p>
        </w:tc>
      </w:tr>
      <w:tr w14:paraId="07F98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47" w:hRule="atLeast"/>
        </w:trPr>
        <w:tc>
          <w:tcPr>
            <w:tcW w:w="1314" w:type="dxa"/>
            <w:vMerge w:val="continue"/>
            <w:vAlign w:val="center"/>
          </w:tcPr>
          <w:p w14:paraId="2323BB1B">
            <w:pPr>
              <w:pStyle w:val="41"/>
              <w:spacing w:line="300" w:lineRule="auto"/>
              <w:ind w:left="0" w:firstLine="0"/>
              <w:rPr>
                <w:rFonts w:hint="eastAsia" w:ascii="宋体" w:hAnsi="宋体" w:eastAsia="宋体" w:cs="宋体"/>
                <w:bCs/>
                <w:szCs w:val="24"/>
              </w:rPr>
            </w:pPr>
          </w:p>
        </w:tc>
        <w:tc>
          <w:tcPr>
            <w:tcW w:w="906" w:type="dxa"/>
            <w:vMerge w:val="continue"/>
            <w:vAlign w:val="center"/>
          </w:tcPr>
          <w:p w14:paraId="08066707">
            <w:pPr>
              <w:pStyle w:val="41"/>
              <w:spacing w:line="300" w:lineRule="auto"/>
              <w:ind w:left="0" w:firstLine="0"/>
              <w:rPr>
                <w:rFonts w:hint="eastAsia" w:ascii="宋体" w:hAnsi="宋体" w:eastAsia="宋体" w:cs="宋体"/>
                <w:bCs/>
                <w:szCs w:val="24"/>
              </w:rPr>
            </w:pPr>
          </w:p>
        </w:tc>
        <w:tc>
          <w:tcPr>
            <w:tcW w:w="6180" w:type="dxa"/>
            <w:vAlign w:val="center"/>
          </w:tcPr>
          <w:p w14:paraId="29990CCE">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手术编码维护：</w:t>
            </w:r>
          </w:p>
          <w:p w14:paraId="7287FFB5">
            <w:pPr>
              <w:pStyle w:val="41"/>
              <w:spacing w:line="300" w:lineRule="auto"/>
              <w:ind w:left="0" w:firstLine="0"/>
              <w:rPr>
                <w:rFonts w:hint="eastAsia" w:ascii="宋体" w:hAnsi="宋体" w:eastAsia="宋体" w:cs="宋体"/>
                <w:bCs/>
                <w:szCs w:val="24"/>
              </w:rPr>
            </w:pPr>
            <w:r>
              <w:rPr>
                <w:rFonts w:hint="eastAsia" w:ascii="宋体" w:hAnsi="宋体" w:eastAsia="宋体" w:cs="宋体"/>
                <w:bCs/>
                <w:szCs w:val="24"/>
              </w:rPr>
              <w:t>3.支持对手术编码进行维护管理，包含手术编码、手术名称、拼音码、停用/启用状态等，支持编辑修改、新增及手动导入、编码对照等。</w:t>
            </w:r>
          </w:p>
          <w:p w14:paraId="1749244D">
            <w:pPr>
              <w:spacing w:line="300" w:lineRule="auto"/>
              <w:rPr>
                <w:rFonts w:hint="eastAsia" w:ascii="宋体" w:hAnsi="宋体" w:eastAsia="宋体" w:cs="宋体"/>
                <w:bCs/>
              </w:rPr>
            </w:pPr>
            <w:r>
              <w:rPr>
                <w:rFonts w:hint="eastAsia" w:ascii="宋体" w:hAnsi="宋体" w:eastAsia="宋体" w:cs="宋体"/>
                <w:bCs/>
              </w:rPr>
              <w:t>4.支持手术编码、手术名称、拼音码、手术编码启用状态进行检索查询。</w:t>
            </w:r>
          </w:p>
        </w:tc>
      </w:tr>
    </w:tbl>
    <w:p w14:paraId="6B08514B">
      <w:pPr>
        <w:spacing w:line="520" w:lineRule="exact"/>
        <w:ind w:left="0" w:leftChars="0"/>
        <w:rPr>
          <w:rFonts w:hint="eastAsia" w:asciiTheme="minorEastAsia" w:hAnsiTheme="minorEastAsia" w:cstheme="minorEastAsia"/>
          <w:b/>
          <w:bCs/>
          <w:sz w:val="24"/>
          <w:lang w:val="en-US" w:eastAsia="zh-CN"/>
        </w:rPr>
      </w:pPr>
      <w:r>
        <w:rPr>
          <w:rFonts w:hint="eastAsia" w:asciiTheme="minorEastAsia" w:hAnsiTheme="minorEastAsia" w:cstheme="minorEastAsia"/>
          <w:b/>
          <w:bCs/>
          <w:sz w:val="24"/>
          <w:lang w:val="en-US" w:eastAsia="zh-CN"/>
        </w:rPr>
        <w:t>四</w:t>
      </w:r>
      <w:r>
        <w:rPr>
          <w:rFonts w:hint="eastAsia" w:asciiTheme="minorEastAsia" w:hAnsiTheme="minorEastAsia" w:cstheme="minorEastAsia"/>
          <w:b/>
          <w:bCs/>
          <w:sz w:val="24"/>
        </w:rPr>
        <w:t>、</w:t>
      </w:r>
      <w:r>
        <w:rPr>
          <w:rFonts w:hint="eastAsia" w:asciiTheme="minorEastAsia" w:hAnsiTheme="minorEastAsia" w:cstheme="minorEastAsia"/>
          <w:b/>
          <w:bCs/>
          <w:sz w:val="24"/>
          <w:lang w:val="en-US" w:eastAsia="zh-CN"/>
        </w:rPr>
        <w:t xml:space="preserve"> 商务要求</w:t>
      </w:r>
    </w:p>
    <w:p w14:paraId="1C4D3D5E">
      <w:pPr>
        <w:pStyle w:val="2"/>
        <w:ind w:left="0" w:leftChars="0"/>
        <w:rPr>
          <w:rFonts w:hint="default"/>
          <w:lang w:val="en-US" w:eastAsia="zh-CN"/>
        </w:rPr>
      </w:pPr>
    </w:p>
    <w:tbl>
      <w:tblPr>
        <w:tblStyle w:val="43"/>
        <w:tblW w:w="500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32" w:type="dxa"/>
          <w:left w:w="64" w:type="dxa"/>
          <w:bottom w:w="32" w:type="dxa"/>
          <w:right w:w="64" w:type="dxa"/>
        </w:tblCellMar>
      </w:tblPr>
      <w:tblGrid>
        <w:gridCol w:w="471"/>
        <w:gridCol w:w="1184"/>
        <w:gridCol w:w="6787"/>
      </w:tblGrid>
      <w:tr w14:paraId="28673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870" w:hRule="atLeast"/>
          <w:jc w:val="center"/>
        </w:trPr>
        <w:tc>
          <w:tcPr>
            <w:tcW w:w="279" w:type="pct"/>
            <w:vMerge w:val="restart"/>
            <w:vAlign w:val="center"/>
          </w:tcPr>
          <w:p w14:paraId="3A322FE0">
            <w:pPr>
              <w:snapToGrid w:val="0"/>
              <w:spacing w:line="360" w:lineRule="auto"/>
              <w:jc w:val="center"/>
              <w:rPr>
                <w:rFonts w:ascii="宋体" w:hAnsi="宋体" w:eastAsia="宋体" w:cs="宋体"/>
                <w:spacing w:val="1"/>
                <w:sz w:val="21"/>
                <w:szCs w:val="21"/>
                <w:highlight w:val="none"/>
                <w:lang w:eastAsia="en-US"/>
              </w:rPr>
            </w:pPr>
            <w:r>
              <w:rPr>
                <w:rFonts w:hint="eastAsia" w:ascii="宋体" w:hAnsi="宋体" w:eastAsia="宋体" w:cs="宋体"/>
                <w:spacing w:val="1"/>
                <w:sz w:val="21"/>
                <w:szCs w:val="21"/>
                <w:lang w:eastAsia="en-US"/>
              </w:rPr>
              <w:t>商务要求</w:t>
            </w:r>
          </w:p>
        </w:tc>
        <w:tc>
          <w:tcPr>
            <w:tcW w:w="701" w:type="pct"/>
            <w:vAlign w:val="center"/>
          </w:tcPr>
          <w:p w14:paraId="5D721270">
            <w:pPr>
              <w:pStyle w:val="44"/>
              <w:snapToGrid w:val="0"/>
              <w:spacing w:before="72" w:line="360" w:lineRule="auto"/>
              <w:jc w:val="center"/>
              <w:rPr>
                <w:spacing w:val="1"/>
                <w:sz w:val="21"/>
                <w:szCs w:val="21"/>
                <w:highlight w:val="none"/>
                <w:lang w:eastAsia="en-US"/>
              </w:rPr>
            </w:pPr>
            <w:r>
              <w:rPr>
                <w:rFonts w:hint="eastAsia"/>
                <w:spacing w:val="1"/>
                <w:sz w:val="21"/>
                <w:szCs w:val="21"/>
                <w:lang w:eastAsia="en-US"/>
              </w:rPr>
              <w:t>合同签订</w:t>
            </w:r>
          </w:p>
        </w:tc>
        <w:tc>
          <w:tcPr>
            <w:tcW w:w="4019" w:type="pct"/>
            <w:vAlign w:val="center"/>
          </w:tcPr>
          <w:p w14:paraId="2924DA79">
            <w:pPr>
              <w:pStyle w:val="44"/>
              <w:snapToGrid w:val="0"/>
              <w:spacing w:before="28" w:line="360" w:lineRule="auto"/>
              <w:ind w:left="239" w:leftChars="114" w:right="18" w:firstLine="192" w:firstLineChars="91"/>
              <w:rPr>
                <w:spacing w:val="1"/>
                <w:sz w:val="21"/>
                <w:szCs w:val="21"/>
                <w:highlight w:val="none"/>
                <w:lang w:eastAsia="zh-CN"/>
              </w:rPr>
            </w:pPr>
            <w:r>
              <w:rPr>
                <w:rFonts w:hint="eastAsia"/>
                <w:spacing w:val="1"/>
                <w:sz w:val="21"/>
                <w:szCs w:val="21"/>
                <w:lang w:eastAsia="zh-CN"/>
              </w:rPr>
              <w:t>签订合同后</w:t>
            </w:r>
            <w:r>
              <w:rPr>
                <w:spacing w:val="1"/>
                <w:sz w:val="21"/>
                <w:szCs w:val="21"/>
                <w:lang w:eastAsia="zh-CN"/>
              </w:rPr>
              <w:t xml:space="preserve"> 30 </w:t>
            </w:r>
            <w:r>
              <w:rPr>
                <w:rFonts w:hint="eastAsia"/>
                <w:spacing w:val="1"/>
                <w:sz w:val="21"/>
                <w:szCs w:val="21"/>
                <w:lang w:eastAsia="zh-CN"/>
              </w:rPr>
              <w:t>日历日内交付，并自验收合格之日起提供≥</w:t>
            </w:r>
            <w:r>
              <w:rPr>
                <w:rFonts w:hint="eastAsia"/>
                <w:spacing w:val="1"/>
                <w:sz w:val="21"/>
                <w:szCs w:val="21"/>
                <w:lang w:val="en-US" w:eastAsia="zh-CN"/>
              </w:rPr>
              <w:t>1</w:t>
            </w:r>
            <w:r>
              <w:rPr>
                <w:rFonts w:hint="eastAsia"/>
                <w:spacing w:val="1"/>
                <w:sz w:val="21"/>
                <w:szCs w:val="21"/>
                <w:lang w:eastAsia="zh-CN"/>
              </w:rPr>
              <w:t>年的免费运维服务（该费用包含在响应报价中，采购人不另行支付任何费用）。</w:t>
            </w:r>
          </w:p>
        </w:tc>
      </w:tr>
      <w:tr w14:paraId="5546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146" w:hRule="atLeast"/>
          <w:jc w:val="center"/>
        </w:trPr>
        <w:tc>
          <w:tcPr>
            <w:tcW w:w="279" w:type="pct"/>
            <w:vMerge w:val="continue"/>
            <w:vAlign w:val="center"/>
          </w:tcPr>
          <w:p w14:paraId="7FD8BEBC">
            <w:pPr>
              <w:snapToGrid w:val="0"/>
              <w:spacing w:line="360" w:lineRule="auto"/>
              <w:jc w:val="center"/>
              <w:rPr>
                <w:rFonts w:ascii="宋体" w:hAnsi="宋体" w:eastAsia="宋体" w:cs="宋体"/>
                <w:spacing w:val="1"/>
                <w:sz w:val="21"/>
                <w:szCs w:val="21"/>
                <w:highlight w:val="none"/>
              </w:rPr>
            </w:pPr>
          </w:p>
        </w:tc>
        <w:tc>
          <w:tcPr>
            <w:tcW w:w="701" w:type="pct"/>
            <w:vAlign w:val="center"/>
          </w:tcPr>
          <w:p w14:paraId="09A4CB93">
            <w:pPr>
              <w:pStyle w:val="44"/>
              <w:snapToGrid w:val="0"/>
              <w:spacing w:before="72" w:line="360" w:lineRule="auto"/>
              <w:jc w:val="center"/>
              <w:rPr>
                <w:spacing w:val="1"/>
                <w:sz w:val="21"/>
                <w:szCs w:val="21"/>
                <w:highlight w:val="none"/>
                <w:lang w:eastAsia="en-US"/>
              </w:rPr>
            </w:pPr>
            <w:r>
              <w:rPr>
                <w:rFonts w:hint="eastAsia"/>
                <w:spacing w:val="1"/>
                <w:sz w:val="21"/>
                <w:szCs w:val="21"/>
                <w:lang w:eastAsia="en-US"/>
              </w:rPr>
              <w:t>验收要求</w:t>
            </w:r>
          </w:p>
        </w:tc>
        <w:tc>
          <w:tcPr>
            <w:tcW w:w="4019" w:type="pct"/>
            <w:vAlign w:val="center"/>
          </w:tcPr>
          <w:p w14:paraId="46386FF3">
            <w:pPr>
              <w:pStyle w:val="44"/>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1</w:t>
            </w:r>
            <w:r>
              <w:rPr>
                <w:rFonts w:hint="eastAsia"/>
                <w:spacing w:val="1"/>
                <w:kern w:val="2"/>
                <w:sz w:val="21"/>
                <w:szCs w:val="21"/>
                <w:lang w:eastAsia="zh-CN"/>
              </w:rPr>
              <w:t>）投标人货物或服务经过双方检验认可后，签署验收报告，系统维保期自验收合格之日起算。</w:t>
            </w:r>
          </w:p>
          <w:p w14:paraId="03840AF8">
            <w:pPr>
              <w:pStyle w:val="44"/>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2</w:t>
            </w:r>
            <w:r>
              <w:rPr>
                <w:rFonts w:hint="eastAsia"/>
                <w:spacing w:val="1"/>
                <w:kern w:val="2"/>
                <w:sz w:val="21"/>
                <w:szCs w:val="21"/>
                <w:lang w:eastAsia="zh-CN"/>
              </w:rPr>
              <w:t>）当满足以下条件时，采购人才向中标人签发验收报告：</w:t>
            </w:r>
          </w:p>
          <w:p w14:paraId="4404DB18">
            <w:pPr>
              <w:pStyle w:val="44"/>
              <w:snapToGrid w:val="0"/>
              <w:spacing w:before="28" w:line="360" w:lineRule="auto"/>
              <w:ind w:left="239" w:leftChars="114" w:right="18" w:firstLine="192" w:firstLineChars="91"/>
              <w:rPr>
                <w:spacing w:val="1"/>
                <w:kern w:val="2"/>
                <w:sz w:val="21"/>
                <w:szCs w:val="21"/>
                <w:lang w:eastAsia="zh-CN"/>
              </w:rPr>
            </w:pPr>
            <w:r>
              <w:rPr>
                <w:spacing w:val="1"/>
                <w:kern w:val="2"/>
                <w:sz w:val="21"/>
                <w:szCs w:val="21"/>
                <w:lang w:eastAsia="zh-CN"/>
              </w:rPr>
              <w:t>2.1中标人已按照合同规定提供</w:t>
            </w:r>
            <w:r>
              <w:rPr>
                <w:rFonts w:hint="eastAsia"/>
                <w:spacing w:val="1"/>
                <w:kern w:val="2"/>
                <w:sz w:val="21"/>
                <w:szCs w:val="21"/>
                <w:lang w:eastAsia="zh-CN"/>
              </w:rPr>
              <w:t>系统完整的技术资料。</w:t>
            </w:r>
          </w:p>
          <w:p w14:paraId="7A42361E">
            <w:pPr>
              <w:pStyle w:val="44"/>
              <w:snapToGrid w:val="0"/>
              <w:spacing w:before="28" w:line="360" w:lineRule="auto"/>
              <w:ind w:left="239" w:leftChars="114" w:right="18" w:firstLine="192" w:firstLineChars="91"/>
              <w:rPr>
                <w:spacing w:val="1"/>
                <w:kern w:val="2"/>
                <w:sz w:val="21"/>
                <w:szCs w:val="21"/>
                <w:lang w:eastAsia="zh-CN"/>
              </w:rPr>
            </w:pPr>
            <w:r>
              <w:rPr>
                <w:spacing w:val="1"/>
                <w:kern w:val="2"/>
                <w:sz w:val="21"/>
                <w:szCs w:val="21"/>
                <w:lang w:eastAsia="zh-CN"/>
              </w:rPr>
              <w:t>2.2标的物符合招标文件技术规格书的要求，性能满足要求。</w:t>
            </w:r>
          </w:p>
          <w:p w14:paraId="07FC4E02">
            <w:pPr>
              <w:pStyle w:val="44"/>
              <w:snapToGrid w:val="0"/>
              <w:spacing w:before="28" w:line="360" w:lineRule="auto"/>
              <w:ind w:left="239" w:leftChars="114" w:right="18" w:firstLine="192" w:firstLineChars="91"/>
              <w:rPr>
                <w:spacing w:val="1"/>
                <w:kern w:val="2"/>
                <w:sz w:val="21"/>
                <w:szCs w:val="21"/>
                <w:lang w:eastAsia="zh-CN"/>
              </w:rPr>
            </w:pPr>
            <w:r>
              <w:rPr>
                <w:spacing w:val="1"/>
                <w:kern w:val="2"/>
                <w:sz w:val="21"/>
                <w:szCs w:val="21"/>
                <w:lang w:eastAsia="zh-CN"/>
              </w:rPr>
              <w:t>2.3</w:t>
            </w:r>
            <w:r>
              <w:rPr>
                <w:rFonts w:hint="eastAsia"/>
                <w:spacing w:val="1"/>
                <w:kern w:val="2"/>
                <w:sz w:val="21"/>
                <w:szCs w:val="21"/>
                <w:lang w:eastAsia="zh-CN"/>
              </w:rPr>
              <w:t>培训系统使用部门至少</w:t>
            </w:r>
            <w:r>
              <w:rPr>
                <w:spacing w:val="1"/>
                <w:kern w:val="2"/>
                <w:sz w:val="21"/>
                <w:szCs w:val="21"/>
                <w:lang w:eastAsia="zh-CN"/>
              </w:rPr>
              <w:t>3</w:t>
            </w:r>
            <w:r>
              <w:rPr>
                <w:rFonts w:hint="eastAsia"/>
                <w:spacing w:val="1"/>
                <w:kern w:val="2"/>
                <w:sz w:val="21"/>
                <w:szCs w:val="21"/>
                <w:lang w:eastAsia="zh-CN"/>
              </w:rPr>
              <w:t>人熟悉掌握系统操作和相关配置。</w:t>
            </w:r>
          </w:p>
          <w:p w14:paraId="759C2BC4">
            <w:pPr>
              <w:pStyle w:val="44"/>
              <w:snapToGrid w:val="0"/>
              <w:spacing w:before="28" w:line="360" w:lineRule="auto"/>
              <w:ind w:left="239" w:leftChars="114" w:right="18" w:firstLine="192" w:firstLineChars="91"/>
              <w:rPr>
                <w:spacing w:val="1"/>
                <w:kern w:val="2"/>
                <w:sz w:val="21"/>
                <w:szCs w:val="21"/>
                <w:lang w:eastAsia="zh-CN"/>
              </w:rPr>
            </w:pPr>
            <w:r>
              <w:rPr>
                <w:spacing w:val="1"/>
                <w:kern w:val="2"/>
                <w:sz w:val="21"/>
                <w:szCs w:val="21"/>
                <w:lang w:eastAsia="zh-CN"/>
              </w:rPr>
              <w:t xml:space="preserve">2.4 </w:t>
            </w:r>
            <w:r>
              <w:rPr>
                <w:rFonts w:hint="eastAsia"/>
                <w:spacing w:val="1"/>
                <w:kern w:val="2"/>
                <w:sz w:val="21"/>
                <w:szCs w:val="21"/>
                <w:lang w:eastAsia="zh-CN"/>
              </w:rPr>
              <w:t>提供系统数据库完整灾备方案。</w:t>
            </w:r>
          </w:p>
        </w:tc>
      </w:tr>
      <w:tr w14:paraId="29F1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819" w:hRule="atLeast"/>
          <w:jc w:val="center"/>
        </w:trPr>
        <w:tc>
          <w:tcPr>
            <w:tcW w:w="279" w:type="pct"/>
            <w:vMerge w:val="continue"/>
            <w:vAlign w:val="center"/>
          </w:tcPr>
          <w:p w14:paraId="30F32E39">
            <w:pPr>
              <w:snapToGrid w:val="0"/>
              <w:spacing w:line="360" w:lineRule="auto"/>
              <w:jc w:val="center"/>
              <w:rPr>
                <w:rFonts w:ascii="宋体" w:hAnsi="宋体" w:eastAsia="宋体" w:cs="宋体"/>
                <w:spacing w:val="1"/>
                <w:sz w:val="21"/>
                <w:szCs w:val="21"/>
                <w:highlight w:val="none"/>
              </w:rPr>
            </w:pPr>
          </w:p>
        </w:tc>
        <w:tc>
          <w:tcPr>
            <w:tcW w:w="701" w:type="pct"/>
            <w:vAlign w:val="center"/>
          </w:tcPr>
          <w:p w14:paraId="390505A6">
            <w:pPr>
              <w:pStyle w:val="44"/>
              <w:snapToGrid w:val="0"/>
              <w:spacing w:before="72" w:line="360" w:lineRule="auto"/>
              <w:jc w:val="center"/>
              <w:rPr>
                <w:spacing w:val="1"/>
                <w:sz w:val="21"/>
                <w:szCs w:val="21"/>
                <w:highlight w:val="none"/>
                <w:lang w:eastAsia="en-US"/>
              </w:rPr>
            </w:pPr>
            <w:r>
              <w:rPr>
                <w:rFonts w:hint="eastAsia"/>
                <w:spacing w:val="1"/>
                <w:sz w:val="21"/>
                <w:szCs w:val="21"/>
                <w:lang w:eastAsia="en-US"/>
              </w:rPr>
              <w:t>售后服务</w:t>
            </w:r>
          </w:p>
        </w:tc>
        <w:tc>
          <w:tcPr>
            <w:tcW w:w="4019" w:type="pct"/>
            <w:vAlign w:val="center"/>
          </w:tcPr>
          <w:p w14:paraId="51E26695">
            <w:pPr>
              <w:widowControl/>
              <w:spacing w:line="360" w:lineRule="auto"/>
              <w:rPr>
                <w:rFonts w:ascii="宋体" w:hAnsi="宋体" w:eastAsia="宋体" w:cs="宋体"/>
                <w:spacing w:val="1"/>
                <w:kern w:val="2"/>
                <w:sz w:val="21"/>
                <w:szCs w:val="21"/>
              </w:rPr>
            </w:pPr>
            <w:r>
              <w:rPr>
                <w:rFonts w:hint="eastAsia" w:ascii="宋体" w:hAnsi="宋体" w:eastAsia="宋体" w:cs="宋体"/>
                <w:spacing w:val="1"/>
                <w:kern w:val="2"/>
                <w:sz w:val="21"/>
                <w:szCs w:val="21"/>
              </w:rPr>
              <w:t>（</w:t>
            </w:r>
            <w:r>
              <w:rPr>
                <w:rFonts w:ascii="宋体" w:hAnsi="宋体" w:eastAsia="宋体" w:cs="宋体"/>
                <w:spacing w:val="1"/>
                <w:kern w:val="2"/>
                <w:sz w:val="21"/>
                <w:szCs w:val="21"/>
              </w:rPr>
              <w:t>1</w:t>
            </w:r>
            <w:r>
              <w:rPr>
                <w:rFonts w:hint="eastAsia" w:ascii="宋体" w:hAnsi="宋体" w:eastAsia="宋体" w:cs="宋体"/>
                <w:spacing w:val="1"/>
                <w:kern w:val="2"/>
                <w:sz w:val="21"/>
                <w:szCs w:val="21"/>
              </w:rPr>
              <w:t>）免费维护期</w:t>
            </w:r>
            <w:r>
              <w:rPr>
                <w:rFonts w:ascii="宋体" w:hAnsi="宋体" w:eastAsia="宋体" w:cs="宋体"/>
                <w:spacing w:val="1"/>
                <w:kern w:val="2"/>
                <w:sz w:val="21"/>
                <w:szCs w:val="21"/>
                <w:u w:val="none"/>
              </w:rPr>
              <w:t xml:space="preserve"> </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1</w:t>
            </w:r>
            <w:r>
              <w:rPr>
                <w:rFonts w:ascii="宋体" w:hAnsi="宋体" w:eastAsia="宋体" w:cs="宋体"/>
                <w:b w:val="0"/>
                <w:spacing w:val="1"/>
                <w:kern w:val="2"/>
                <w:sz w:val="21"/>
                <w:szCs w:val="21"/>
                <w:u w:val="none"/>
              </w:rPr>
              <w:t xml:space="preserve"> </w:t>
            </w:r>
            <w:r>
              <w:rPr>
                <w:rFonts w:hint="eastAsia" w:ascii="宋体" w:hAnsi="宋体" w:eastAsia="宋体" w:cs="宋体"/>
                <w:spacing w:val="1"/>
                <w:kern w:val="2"/>
                <w:sz w:val="21"/>
                <w:szCs w:val="21"/>
              </w:rPr>
              <w:t>年，时间自验收合格之日起计算。</w:t>
            </w:r>
          </w:p>
          <w:p w14:paraId="5001D52D">
            <w:pPr>
              <w:pStyle w:val="44"/>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2</w:t>
            </w:r>
            <w:r>
              <w:rPr>
                <w:rFonts w:hint="eastAsia"/>
                <w:spacing w:val="1"/>
                <w:kern w:val="2"/>
                <w:sz w:val="21"/>
                <w:szCs w:val="21"/>
                <w:lang w:eastAsia="zh-CN"/>
              </w:rPr>
              <w:t>）项目免费维护期满后，后期年度保修费用不超过中标金额的</w:t>
            </w:r>
            <w:r>
              <w:rPr>
                <w:rFonts w:hint="eastAsia"/>
                <w:spacing w:val="1"/>
                <w:kern w:val="2"/>
                <w:sz w:val="21"/>
                <w:szCs w:val="21"/>
                <w:u w:val="none"/>
                <w:lang w:val="en-US" w:eastAsia="zh-CN"/>
              </w:rPr>
              <w:t>8</w:t>
            </w:r>
            <w:r>
              <w:rPr>
                <w:spacing w:val="1"/>
                <w:kern w:val="2"/>
                <w:sz w:val="21"/>
                <w:szCs w:val="21"/>
                <w:u w:val="none"/>
                <w:lang w:eastAsia="zh-CN"/>
              </w:rPr>
              <w:t>%</w:t>
            </w:r>
            <w:r>
              <w:rPr>
                <w:rFonts w:hint="eastAsia"/>
                <w:spacing w:val="1"/>
                <w:kern w:val="2"/>
                <w:sz w:val="21"/>
                <w:szCs w:val="21"/>
                <w:u w:val="none"/>
                <w:lang w:val="en-US" w:eastAsia="zh-CN"/>
              </w:rPr>
              <w:t>/年</w:t>
            </w:r>
            <w:r>
              <w:rPr>
                <w:rFonts w:hint="eastAsia"/>
                <w:spacing w:val="1"/>
                <w:kern w:val="2"/>
                <w:sz w:val="21"/>
                <w:szCs w:val="21"/>
                <w:lang w:eastAsia="zh-CN"/>
              </w:rPr>
              <w:t>。</w:t>
            </w:r>
          </w:p>
          <w:p w14:paraId="3C16D3AD">
            <w:pPr>
              <w:pStyle w:val="44"/>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3</w:t>
            </w:r>
            <w:r>
              <w:rPr>
                <w:rFonts w:hint="eastAsia"/>
                <w:spacing w:val="1"/>
                <w:kern w:val="2"/>
                <w:sz w:val="21"/>
                <w:szCs w:val="21"/>
                <w:lang w:eastAsia="zh-CN"/>
              </w:rPr>
              <w:t>）在维护期内，提供</w:t>
            </w:r>
            <w:r>
              <w:rPr>
                <w:spacing w:val="1"/>
                <w:kern w:val="2"/>
                <w:sz w:val="21"/>
                <w:szCs w:val="21"/>
                <w:lang w:eastAsia="zh-CN"/>
              </w:rPr>
              <w:t>7*24故障受理服务电话。一旦发生标的物相关问题，投标人保证在接到通知</w:t>
            </w:r>
            <w:r>
              <w:rPr>
                <w:spacing w:val="1"/>
                <w:kern w:val="2"/>
                <w:sz w:val="21"/>
                <w:szCs w:val="21"/>
                <w:u w:val="none"/>
                <w:lang w:eastAsia="zh-CN"/>
              </w:rPr>
              <w:t xml:space="preserve"> 2 </w:t>
            </w:r>
            <w:r>
              <w:rPr>
                <w:rFonts w:hint="eastAsia"/>
                <w:spacing w:val="1"/>
                <w:kern w:val="2"/>
                <w:sz w:val="21"/>
                <w:szCs w:val="21"/>
                <w:lang w:eastAsia="zh-CN"/>
              </w:rPr>
              <w:t>小时内响应，</w:t>
            </w:r>
            <w:r>
              <w:rPr>
                <w:spacing w:val="1"/>
                <w:kern w:val="2"/>
                <w:sz w:val="21"/>
                <w:szCs w:val="21"/>
                <w:u w:val="none"/>
                <w:lang w:eastAsia="zh-CN"/>
              </w:rPr>
              <w:t xml:space="preserve"> </w:t>
            </w:r>
            <w:r>
              <w:rPr>
                <w:rFonts w:hint="eastAsia"/>
                <w:spacing w:val="1"/>
                <w:kern w:val="2"/>
                <w:sz w:val="21"/>
                <w:szCs w:val="21"/>
                <w:u w:val="none"/>
                <w:lang w:val="en-US" w:eastAsia="zh-CN"/>
              </w:rPr>
              <w:t>若远程无法解决，需要在</w:t>
            </w:r>
            <w:r>
              <w:rPr>
                <w:spacing w:val="1"/>
                <w:kern w:val="2"/>
                <w:sz w:val="21"/>
                <w:szCs w:val="21"/>
                <w:u w:val="none"/>
                <w:lang w:eastAsia="zh-CN"/>
              </w:rPr>
              <w:t xml:space="preserve">24 </w:t>
            </w:r>
            <w:r>
              <w:rPr>
                <w:rFonts w:hint="eastAsia"/>
                <w:spacing w:val="1"/>
                <w:kern w:val="2"/>
                <w:sz w:val="21"/>
                <w:szCs w:val="21"/>
                <w:lang w:eastAsia="zh-CN"/>
              </w:rPr>
              <w:t>小时内赶到进行现场处理。</w:t>
            </w:r>
          </w:p>
          <w:p w14:paraId="30B4F797">
            <w:pPr>
              <w:pStyle w:val="44"/>
              <w:snapToGrid w:val="0"/>
              <w:spacing w:before="28" w:line="360" w:lineRule="auto"/>
              <w:ind w:left="56" w:right="18" w:hanging="18"/>
              <w:rPr>
                <w:spacing w:val="1"/>
                <w:kern w:val="2"/>
                <w:sz w:val="21"/>
                <w:szCs w:val="21"/>
                <w:lang w:eastAsia="zh-CN"/>
              </w:rPr>
            </w:pPr>
            <w:r>
              <w:rPr>
                <w:rFonts w:hint="eastAsia"/>
                <w:spacing w:val="1"/>
                <w:kern w:val="2"/>
                <w:sz w:val="21"/>
                <w:szCs w:val="21"/>
                <w:lang w:eastAsia="zh-CN"/>
              </w:rPr>
              <w:t>（</w:t>
            </w:r>
            <w:r>
              <w:rPr>
                <w:spacing w:val="1"/>
                <w:kern w:val="2"/>
                <w:sz w:val="21"/>
                <w:szCs w:val="21"/>
                <w:lang w:eastAsia="zh-CN"/>
              </w:rPr>
              <w:t>4</w:t>
            </w:r>
            <w:r>
              <w:rPr>
                <w:rFonts w:hint="eastAsia"/>
                <w:spacing w:val="1"/>
                <w:kern w:val="2"/>
                <w:sz w:val="21"/>
                <w:szCs w:val="21"/>
                <w:lang w:eastAsia="zh-CN"/>
              </w:rPr>
              <w:t>）每年对系统运行状况进行巡检，并出具巡检报告。</w:t>
            </w:r>
          </w:p>
        </w:tc>
      </w:tr>
      <w:tr w14:paraId="6DB0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964" w:hRule="atLeast"/>
          <w:jc w:val="center"/>
        </w:trPr>
        <w:tc>
          <w:tcPr>
            <w:tcW w:w="279" w:type="pct"/>
            <w:vMerge w:val="continue"/>
            <w:vAlign w:val="center"/>
          </w:tcPr>
          <w:p w14:paraId="29CF754E">
            <w:pPr>
              <w:snapToGrid w:val="0"/>
              <w:spacing w:line="360" w:lineRule="auto"/>
              <w:jc w:val="center"/>
              <w:rPr>
                <w:rFonts w:ascii="宋体" w:hAnsi="宋体" w:eastAsia="宋体" w:cs="宋体"/>
                <w:spacing w:val="1"/>
                <w:sz w:val="21"/>
                <w:szCs w:val="21"/>
                <w:highlight w:val="none"/>
              </w:rPr>
            </w:pPr>
          </w:p>
        </w:tc>
        <w:tc>
          <w:tcPr>
            <w:tcW w:w="701" w:type="pct"/>
            <w:vAlign w:val="center"/>
          </w:tcPr>
          <w:p w14:paraId="0F3908B4">
            <w:pPr>
              <w:pStyle w:val="44"/>
              <w:snapToGrid w:val="0"/>
              <w:spacing w:before="72" w:line="360" w:lineRule="auto"/>
              <w:jc w:val="center"/>
              <w:rPr>
                <w:spacing w:val="1"/>
                <w:sz w:val="21"/>
                <w:szCs w:val="21"/>
                <w:highlight w:val="none"/>
                <w:lang w:eastAsia="en-US"/>
              </w:rPr>
            </w:pPr>
            <w:r>
              <w:rPr>
                <w:rFonts w:hint="eastAsia"/>
                <w:spacing w:val="1"/>
                <w:sz w:val="21"/>
                <w:szCs w:val="21"/>
                <w:lang w:eastAsia="en-US"/>
              </w:rPr>
              <w:t>接口对接</w:t>
            </w:r>
          </w:p>
        </w:tc>
        <w:tc>
          <w:tcPr>
            <w:tcW w:w="4019" w:type="pct"/>
            <w:vAlign w:val="center"/>
          </w:tcPr>
          <w:p w14:paraId="650D4F00">
            <w:pPr>
              <w:pStyle w:val="44"/>
              <w:snapToGrid w:val="0"/>
              <w:spacing w:before="28" w:line="360" w:lineRule="auto"/>
              <w:ind w:left="56" w:right="18" w:hanging="18"/>
              <w:rPr>
                <w:spacing w:val="1"/>
                <w:sz w:val="21"/>
                <w:szCs w:val="21"/>
                <w:highlight w:val="none"/>
                <w:lang w:eastAsia="zh-CN"/>
              </w:rPr>
            </w:pPr>
            <w:r>
              <w:rPr>
                <w:rFonts w:hint="eastAsia"/>
                <w:spacing w:val="1"/>
                <w:sz w:val="21"/>
                <w:szCs w:val="21"/>
                <w:lang w:eastAsia="zh-CN"/>
              </w:rPr>
              <w:t>系统在实施及维保期间提供与第三方系统免费接口对接服务，</w:t>
            </w:r>
            <w:r>
              <w:rPr>
                <w:spacing w:val="1"/>
                <w:sz w:val="21"/>
                <w:szCs w:val="21"/>
                <w:lang w:eastAsia="zh-CN"/>
              </w:rPr>
              <w:t>最终接入数量和范围由医院根据实际情况而确定</w:t>
            </w:r>
            <w:r>
              <w:rPr>
                <w:rFonts w:hint="eastAsia"/>
                <w:spacing w:val="1"/>
                <w:sz w:val="21"/>
                <w:szCs w:val="21"/>
                <w:lang w:eastAsia="zh-CN"/>
              </w:rPr>
              <w:t>。</w:t>
            </w:r>
          </w:p>
        </w:tc>
      </w:tr>
      <w:tr w14:paraId="654C3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3031" w:hRule="atLeast"/>
          <w:jc w:val="center"/>
        </w:trPr>
        <w:tc>
          <w:tcPr>
            <w:tcW w:w="279" w:type="pct"/>
            <w:vMerge w:val="continue"/>
            <w:vAlign w:val="center"/>
          </w:tcPr>
          <w:p w14:paraId="210A7770">
            <w:pPr>
              <w:snapToGrid w:val="0"/>
              <w:spacing w:line="360" w:lineRule="auto"/>
              <w:jc w:val="center"/>
              <w:rPr>
                <w:rFonts w:ascii="宋体" w:hAnsi="宋体" w:eastAsia="宋体" w:cs="宋体"/>
                <w:spacing w:val="1"/>
                <w:sz w:val="21"/>
                <w:szCs w:val="21"/>
                <w:highlight w:val="none"/>
              </w:rPr>
            </w:pPr>
          </w:p>
        </w:tc>
        <w:tc>
          <w:tcPr>
            <w:tcW w:w="701" w:type="pct"/>
            <w:vAlign w:val="center"/>
          </w:tcPr>
          <w:p w14:paraId="4ECE405E">
            <w:pPr>
              <w:pStyle w:val="44"/>
              <w:snapToGrid w:val="0"/>
              <w:spacing w:before="72" w:line="360" w:lineRule="auto"/>
              <w:jc w:val="center"/>
              <w:rPr>
                <w:rFonts w:hint="default" w:eastAsia="宋体"/>
                <w:spacing w:val="1"/>
                <w:sz w:val="21"/>
                <w:szCs w:val="21"/>
                <w:lang w:val="en-US" w:eastAsia="zh-CN"/>
              </w:rPr>
            </w:pPr>
            <w:r>
              <w:rPr>
                <w:rFonts w:hint="eastAsia"/>
                <w:spacing w:val="1"/>
                <w:sz w:val="21"/>
                <w:szCs w:val="21"/>
                <w:lang w:val="en-US" w:eastAsia="zh-CN"/>
              </w:rPr>
              <w:t>▲改造服务及兼容性要求</w:t>
            </w:r>
          </w:p>
        </w:tc>
        <w:tc>
          <w:tcPr>
            <w:tcW w:w="4019" w:type="pct"/>
            <w:vAlign w:val="center"/>
          </w:tcPr>
          <w:p w14:paraId="0AF07424">
            <w:pPr>
              <w:pStyle w:val="44"/>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1.配合采购人进行医院信息互联互通标准化成熟度测评四级甲等评审，评审工作中涉及本项目的，成交供应商需免费按时进行改造或升级。</w:t>
            </w:r>
          </w:p>
          <w:p w14:paraId="12FA7055">
            <w:pPr>
              <w:pStyle w:val="44"/>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2.配合采购人进行智慧医疗分级评价标准五级评审，评审工作中涉及本项目的,成交供应商需免费按时进行改造或升级。</w:t>
            </w:r>
          </w:p>
          <w:p w14:paraId="7BABE902">
            <w:pPr>
              <w:pStyle w:val="44"/>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3.配合采购人针对本项目进行信息安全等级保护三级测评，评审工作中涉及本项目的，成交供应商需免费按时进行改造或升级。</w:t>
            </w:r>
          </w:p>
          <w:p w14:paraId="63542CC6">
            <w:pPr>
              <w:pStyle w:val="44"/>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4.配合采购人进行商用密码应用安全性改造，改造工作中涉及本项目的，成交供应商需免费按时进行改造或升级。</w:t>
            </w:r>
          </w:p>
          <w:p w14:paraId="73993A54">
            <w:pPr>
              <w:pStyle w:val="44"/>
              <w:snapToGrid w:val="0"/>
              <w:spacing w:before="28" w:line="360" w:lineRule="auto"/>
              <w:ind w:left="56" w:right="18" w:hanging="18"/>
              <w:rPr>
                <w:rFonts w:hint="eastAsia"/>
                <w:spacing w:val="1"/>
                <w:sz w:val="21"/>
                <w:szCs w:val="21"/>
                <w:lang w:eastAsia="zh-CN"/>
              </w:rPr>
            </w:pPr>
            <w:r>
              <w:rPr>
                <w:rFonts w:hint="eastAsia"/>
                <w:spacing w:val="1"/>
                <w:sz w:val="21"/>
                <w:szCs w:val="21"/>
                <w:lang w:eastAsia="zh-CN"/>
              </w:rPr>
              <w:t>5.要求支持部署在信创服务器，支持信创系统，支持信创数据库，支持国密改造。</w:t>
            </w:r>
          </w:p>
        </w:tc>
      </w:tr>
    </w:tbl>
    <w:p w14:paraId="5990199B">
      <w:r>
        <w:br w:type="page"/>
      </w:r>
    </w:p>
    <w:p w14:paraId="66F5B01A">
      <w:pPr>
        <w:pStyle w:val="41"/>
        <w:ind w:left="0" w:firstLine="0"/>
        <w:rPr>
          <w:rFonts w:hint="eastAsia"/>
          <w:b/>
          <w:sz w:val="28"/>
          <w:szCs w:val="28"/>
          <w:lang w:val="en-US" w:eastAsia="zh-CN"/>
        </w:rPr>
      </w:pPr>
      <w:r>
        <w:rPr>
          <w:rFonts w:hint="eastAsia"/>
          <w:b/>
          <w:sz w:val="28"/>
          <w:szCs w:val="28"/>
          <w:lang w:val="en-US" w:eastAsia="zh-CN"/>
        </w:rPr>
        <w:t>附件3</w:t>
      </w:r>
    </w:p>
    <w:p w14:paraId="39991731">
      <w:pPr>
        <w:pStyle w:val="41"/>
        <w:ind w:hanging="369"/>
        <w:jc w:val="center"/>
        <w:rPr>
          <w:rFonts w:hint="eastAsia"/>
          <w:b/>
          <w:sz w:val="28"/>
          <w:szCs w:val="28"/>
          <w:lang w:val="en-US" w:eastAsia="zh-CN"/>
        </w:rPr>
      </w:pPr>
      <w:r>
        <w:rPr>
          <w:rFonts w:hint="eastAsia"/>
          <w:b/>
          <w:sz w:val="28"/>
          <w:szCs w:val="28"/>
        </w:rPr>
        <w:t>病案</w:t>
      </w:r>
      <w:r>
        <w:rPr>
          <w:rFonts w:hint="eastAsia"/>
          <w:b/>
          <w:sz w:val="28"/>
          <w:szCs w:val="28"/>
          <w:lang w:eastAsia="zh-CN"/>
        </w:rPr>
        <w:t>（</w:t>
      </w:r>
      <w:r>
        <w:rPr>
          <w:rFonts w:hint="eastAsia"/>
          <w:b/>
          <w:sz w:val="28"/>
          <w:szCs w:val="28"/>
        </w:rPr>
        <w:t>统计</w:t>
      </w:r>
      <w:r>
        <w:rPr>
          <w:rFonts w:hint="eastAsia"/>
          <w:b/>
          <w:sz w:val="28"/>
          <w:szCs w:val="28"/>
          <w:lang w:eastAsia="zh-CN"/>
        </w:rPr>
        <w:t>）</w:t>
      </w:r>
      <w:r>
        <w:rPr>
          <w:rFonts w:hint="eastAsia"/>
          <w:b/>
          <w:sz w:val="28"/>
          <w:szCs w:val="28"/>
        </w:rPr>
        <w:t>管理系统</w:t>
      </w:r>
      <w:r>
        <w:rPr>
          <w:rFonts w:hint="eastAsia"/>
          <w:b/>
          <w:sz w:val="28"/>
          <w:szCs w:val="28"/>
          <w:lang w:val="en-US" w:eastAsia="zh-CN"/>
        </w:rPr>
        <w:t>评分细则</w:t>
      </w:r>
    </w:p>
    <w:tbl>
      <w:tblPr>
        <w:tblStyle w:val="17"/>
        <w:tblW w:w="8376"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1110"/>
        <w:gridCol w:w="5886"/>
        <w:gridCol w:w="696"/>
      </w:tblGrid>
      <w:tr w14:paraId="13A0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5BD4DF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序号</w:t>
            </w:r>
          </w:p>
        </w:tc>
        <w:tc>
          <w:tcPr>
            <w:tcW w:w="1110" w:type="dxa"/>
            <w:tcBorders>
              <w:top w:val="single" w:color="000000" w:sz="4" w:space="0"/>
              <w:left w:val="nil"/>
              <w:bottom w:val="single" w:color="000000" w:sz="4" w:space="0"/>
              <w:right w:val="single" w:color="000000" w:sz="4" w:space="0"/>
            </w:tcBorders>
            <w:shd w:val="clear" w:color="auto" w:fill="F1F1F1"/>
            <w:noWrap w:val="0"/>
            <w:vAlign w:val="center"/>
          </w:tcPr>
          <w:p w14:paraId="3CA64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评分内容</w:t>
            </w:r>
          </w:p>
        </w:tc>
        <w:tc>
          <w:tcPr>
            <w:tcW w:w="5886" w:type="dxa"/>
            <w:tcBorders>
              <w:top w:val="single" w:color="000000" w:sz="4" w:space="0"/>
              <w:left w:val="nil"/>
              <w:bottom w:val="single" w:color="000000" w:sz="4" w:space="0"/>
              <w:right w:val="single" w:color="000000" w:sz="4" w:space="0"/>
            </w:tcBorders>
            <w:shd w:val="clear" w:color="auto" w:fill="F1F1F1"/>
            <w:noWrap w:val="0"/>
            <w:vAlign w:val="center"/>
          </w:tcPr>
          <w:p w14:paraId="3B0E91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评分标准</w:t>
            </w:r>
          </w:p>
        </w:tc>
        <w:tc>
          <w:tcPr>
            <w:tcW w:w="696" w:type="dxa"/>
            <w:tcBorders>
              <w:top w:val="single" w:color="000000" w:sz="4" w:space="0"/>
              <w:left w:val="nil"/>
              <w:bottom w:val="single" w:color="000000" w:sz="4" w:space="0"/>
              <w:right w:val="single" w:color="000000" w:sz="4" w:space="0"/>
            </w:tcBorders>
            <w:shd w:val="clear" w:color="auto" w:fill="F1F1F1"/>
            <w:noWrap w:val="0"/>
            <w:vAlign w:val="center"/>
          </w:tcPr>
          <w:p w14:paraId="20298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分值</w:t>
            </w:r>
          </w:p>
        </w:tc>
      </w:tr>
      <w:tr w14:paraId="6C4B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14FC3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1</w:t>
            </w:r>
          </w:p>
        </w:tc>
        <w:tc>
          <w:tcPr>
            <w:tcW w:w="7692" w:type="dxa"/>
            <w:gridSpan w:val="3"/>
            <w:tcBorders>
              <w:top w:val="single" w:color="000000" w:sz="4" w:space="0"/>
              <w:left w:val="nil"/>
              <w:bottom w:val="single" w:color="000000" w:sz="4" w:space="0"/>
              <w:right w:val="single" w:color="000000" w:sz="4" w:space="0"/>
            </w:tcBorders>
            <w:noWrap w:val="0"/>
            <w:vAlign w:val="center"/>
          </w:tcPr>
          <w:p w14:paraId="3E7556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报价分（满分</w:t>
            </w:r>
            <w:r>
              <w:rPr>
                <w:rFonts w:hint="default" w:ascii="宋体" w:hAnsi="宋体" w:eastAsia="宋体" w:cs="宋体"/>
                <w:b/>
                <w:bCs/>
                <w:i w:val="0"/>
                <w:iCs w:val="0"/>
                <w:color w:val="000000"/>
                <w:kern w:val="0"/>
                <w:sz w:val="21"/>
                <w:szCs w:val="21"/>
                <w:lang w:val="en-US" w:eastAsia="zh-CN" w:bidi="ar"/>
              </w:rPr>
              <w:t>1</w:t>
            </w:r>
            <w:r>
              <w:rPr>
                <w:rFonts w:hint="default" w:ascii="宋体" w:hAnsi="宋体" w:cs="宋体"/>
                <w:b/>
                <w:bCs/>
                <w:i w:val="0"/>
                <w:iCs w:val="0"/>
                <w:color w:val="000000"/>
                <w:kern w:val="0"/>
                <w:sz w:val="21"/>
                <w:szCs w:val="21"/>
                <w:lang w:val="en-US" w:eastAsia="zh-CN" w:bidi="ar"/>
              </w:rPr>
              <w:t>5</w:t>
            </w:r>
            <w:r>
              <w:rPr>
                <w:rFonts w:hint="eastAsia" w:ascii="宋体" w:hAnsi="宋体" w:eastAsia="宋体" w:cs="宋体"/>
                <w:b/>
                <w:bCs/>
                <w:i w:val="0"/>
                <w:iCs w:val="0"/>
                <w:color w:val="000000"/>
                <w:kern w:val="0"/>
                <w:sz w:val="21"/>
                <w:szCs w:val="21"/>
                <w:lang w:val="en-US" w:eastAsia="zh-CN" w:bidi="ar"/>
              </w:rPr>
              <w:t>分）</w:t>
            </w:r>
          </w:p>
        </w:tc>
      </w:tr>
      <w:tr w14:paraId="650E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684" w:type="dxa"/>
            <w:vMerge w:val="restart"/>
            <w:tcBorders>
              <w:top w:val="nil"/>
              <w:left w:val="single" w:color="000000" w:sz="4" w:space="0"/>
              <w:bottom w:val="single" w:color="000000" w:sz="4" w:space="0"/>
              <w:right w:val="single" w:color="000000" w:sz="4" w:space="0"/>
            </w:tcBorders>
            <w:noWrap w:val="0"/>
            <w:vAlign w:val="center"/>
          </w:tcPr>
          <w:p w14:paraId="3011B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1.1</w:t>
            </w:r>
          </w:p>
        </w:tc>
        <w:tc>
          <w:tcPr>
            <w:tcW w:w="1110" w:type="dxa"/>
            <w:vMerge w:val="restart"/>
            <w:tcBorders>
              <w:top w:val="nil"/>
              <w:left w:val="nil"/>
              <w:bottom w:val="single" w:color="000000" w:sz="4" w:space="0"/>
              <w:right w:val="single" w:color="000000" w:sz="4" w:space="0"/>
            </w:tcBorders>
            <w:noWrap w:val="0"/>
            <w:vAlign w:val="center"/>
          </w:tcPr>
          <w:p w14:paraId="4B199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报价分</w:t>
            </w:r>
          </w:p>
        </w:tc>
        <w:tc>
          <w:tcPr>
            <w:tcW w:w="5886" w:type="dxa"/>
            <w:tcBorders>
              <w:top w:val="single" w:color="000000" w:sz="4" w:space="0"/>
              <w:left w:val="nil"/>
              <w:bottom w:val="single" w:color="000000" w:sz="4" w:space="0"/>
              <w:right w:val="single" w:color="000000" w:sz="4" w:space="0"/>
            </w:tcBorders>
            <w:noWrap w:val="0"/>
            <w:vAlign w:val="center"/>
          </w:tcPr>
          <w:p w14:paraId="11C617ED">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评审专家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专家小组应当将其作为无效竞标处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报价分采用低价优先法计算，满足采购需求文件要求且评审报价最低的为评审基准价，其价格分为满分</w:t>
            </w:r>
            <w:r>
              <w:rPr>
                <w:rFonts w:hint="default" w:ascii="宋体" w:hAnsi="宋体" w:eastAsia="宋体" w:cs="宋体"/>
                <w:i w:val="0"/>
                <w:iCs w:val="0"/>
                <w:color w:val="000000"/>
                <w:kern w:val="0"/>
                <w:sz w:val="21"/>
                <w:szCs w:val="21"/>
                <w:lang w:val="en-US" w:eastAsia="zh-CN" w:bidi="ar"/>
              </w:rPr>
              <w:t>1</w:t>
            </w:r>
            <w:r>
              <w:rPr>
                <w:rFonts w:hint="default" w:ascii="宋体" w:hAnsi="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分。其他供应商的报价分统一按照下列公式计算：</w:t>
            </w:r>
          </w:p>
        </w:tc>
        <w:tc>
          <w:tcPr>
            <w:tcW w:w="696" w:type="dxa"/>
            <w:vMerge w:val="restart"/>
            <w:tcBorders>
              <w:top w:val="single" w:color="000000" w:sz="4" w:space="0"/>
              <w:left w:val="nil"/>
              <w:bottom w:val="single" w:color="000000" w:sz="4" w:space="0"/>
              <w:right w:val="single" w:color="000000" w:sz="4" w:space="0"/>
            </w:tcBorders>
            <w:noWrap w:val="0"/>
            <w:vAlign w:val="center"/>
          </w:tcPr>
          <w:p w14:paraId="7B7C7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w:t>
            </w:r>
            <w:r>
              <w:rPr>
                <w:rFonts w:hint="default" w:ascii="宋体" w:hAnsi="宋体" w:eastAsia="宋体" w:cs="宋体"/>
                <w:i w:val="0"/>
                <w:iCs w:val="0"/>
                <w:color w:val="000000"/>
                <w:kern w:val="0"/>
                <w:sz w:val="21"/>
                <w:szCs w:val="21"/>
                <w:lang w:val="en-US" w:eastAsia="zh-CN" w:bidi="ar"/>
              </w:rPr>
              <w:t>1</w:t>
            </w:r>
            <w:r>
              <w:rPr>
                <w:rFonts w:hint="default" w:ascii="宋体" w:hAnsi="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lang w:val="en-US" w:eastAsia="zh-CN" w:bidi="ar"/>
              </w:rPr>
              <w:t>分</w:t>
            </w:r>
          </w:p>
        </w:tc>
      </w:tr>
      <w:tr w14:paraId="792C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84" w:type="dxa"/>
            <w:vMerge w:val="continue"/>
            <w:tcBorders>
              <w:top w:val="nil"/>
              <w:left w:val="single" w:color="000000" w:sz="4" w:space="0"/>
              <w:bottom w:val="single" w:color="000000" w:sz="4" w:space="0"/>
              <w:right w:val="single" w:color="000000" w:sz="4" w:space="0"/>
            </w:tcBorders>
            <w:noWrap w:val="0"/>
            <w:vAlign w:val="center"/>
          </w:tcPr>
          <w:p w14:paraId="30041E89">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10" w:type="dxa"/>
            <w:vMerge w:val="continue"/>
            <w:tcBorders>
              <w:top w:val="nil"/>
              <w:left w:val="nil"/>
              <w:bottom w:val="single" w:color="000000" w:sz="4" w:space="0"/>
              <w:right w:val="single" w:color="000000" w:sz="4" w:space="0"/>
            </w:tcBorders>
            <w:noWrap w:val="0"/>
            <w:vAlign w:val="center"/>
          </w:tcPr>
          <w:p w14:paraId="437CB113">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5886" w:type="dxa"/>
            <w:tcBorders>
              <w:top w:val="single" w:color="000000" w:sz="4" w:space="0"/>
              <w:left w:val="nil"/>
              <w:bottom w:val="single" w:color="000000" w:sz="4" w:space="0"/>
              <w:right w:val="single" w:color="000000" w:sz="4" w:space="0"/>
            </w:tcBorders>
            <w:noWrap w:val="0"/>
            <w:vAlign w:val="center"/>
          </w:tcPr>
          <w:p w14:paraId="615AD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21"/>
                <w:szCs w:val="21"/>
                <w:lang w:val="en-US"/>
              </w:rPr>
            </w:pPr>
            <w:r>
              <w:rPr>
                <w:rFonts w:hint="eastAsia" w:ascii="宋体" w:hAnsi="宋体" w:eastAsia="宋体" w:cs="宋体"/>
                <w:b/>
                <w:bCs/>
                <w:i w:val="0"/>
                <w:iCs w:val="0"/>
                <w:color w:val="000000"/>
                <w:kern w:val="0"/>
                <w:sz w:val="21"/>
                <w:szCs w:val="21"/>
                <w:lang w:val="en-US" w:eastAsia="zh-CN" w:bidi="ar"/>
              </w:rPr>
              <w:t>竞标报价得分=（评审基准价/供应商评审报价）×</w:t>
            </w:r>
            <w:r>
              <w:rPr>
                <w:rFonts w:hint="default" w:ascii="宋体" w:hAnsi="宋体" w:eastAsia="宋体" w:cs="宋体"/>
                <w:b/>
                <w:bCs/>
                <w:i w:val="0"/>
                <w:iCs w:val="0"/>
                <w:color w:val="000000"/>
                <w:kern w:val="0"/>
                <w:sz w:val="21"/>
                <w:szCs w:val="21"/>
                <w:lang w:val="en-US" w:eastAsia="zh-CN" w:bidi="ar"/>
              </w:rPr>
              <w:t>1</w:t>
            </w:r>
            <w:r>
              <w:rPr>
                <w:rFonts w:hint="default" w:ascii="宋体" w:hAnsi="宋体" w:cs="宋体"/>
                <w:b/>
                <w:bCs/>
                <w:i w:val="0"/>
                <w:iCs w:val="0"/>
                <w:color w:val="000000"/>
                <w:kern w:val="0"/>
                <w:sz w:val="21"/>
                <w:szCs w:val="21"/>
                <w:lang w:val="en-US" w:eastAsia="zh-CN" w:bidi="ar"/>
              </w:rPr>
              <w:t>5</w:t>
            </w:r>
          </w:p>
        </w:tc>
        <w:tc>
          <w:tcPr>
            <w:tcW w:w="696" w:type="dxa"/>
            <w:vMerge w:val="continue"/>
            <w:tcBorders>
              <w:top w:val="single" w:color="000000" w:sz="4" w:space="0"/>
              <w:left w:val="nil"/>
              <w:bottom w:val="single" w:color="000000" w:sz="4" w:space="0"/>
              <w:right w:val="single" w:color="000000" w:sz="4" w:space="0"/>
            </w:tcBorders>
            <w:noWrap w:val="0"/>
            <w:vAlign w:val="center"/>
          </w:tcPr>
          <w:p w14:paraId="0791438D">
            <w:pPr>
              <w:keepNext w:val="0"/>
              <w:keepLines w:val="0"/>
              <w:suppressLineNumbers w:val="0"/>
              <w:spacing w:before="0" w:beforeAutospacing="0" w:after="0" w:afterAutospacing="0"/>
              <w:ind w:left="0" w:right="0"/>
              <w:rPr>
                <w:rFonts w:hint="eastAsia" w:ascii="宋体" w:hAnsi="宋体" w:eastAsia="宋体" w:cs="宋体"/>
                <w:sz w:val="21"/>
                <w:szCs w:val="21"/>
              </w:rPr>
            </w:pPr>
          </w:p>
        </w:tc>
      </w:tr>
      <w:tr w14:paraId="5E1ED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2F3B7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2</w:t>
            </w:r>
          </w:p>
        </w:tc>
        <w:tc>
          <w:tcPr>
            <w:tcW w:w="7692" w:type="dxa"/>
            <w:gridSpan w:val="3"/>
            <w:tcBorders>
              <w:top w:val="single" w:color="000000" w:sz="4" w:space="0"/>
              <w:left w:val="nil"/>
              <w:bottom w:val="single" w:color="000000" w:sz="4" w:space="0"/>
              <w:right w:val="single" w:color="000000" w:sz="4" w:space="0"/>
            </w:tcBorders>
            <w:noWrap w:val="0"/>
            <w:vAlign w:val="center"/>
          </w:tcPr>
          <w:p w14:paraId="71F57EA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技术分（满分</w:t>
            </w:r>
            <w:r>
              <w:rPr>
                <w:rFonts w:hint="eastAsia" w:ascii="宋体" w:hAnsi="宋体" w:cs="宋体"/>
                <w:b/>
                <w:bCs/>
                <w:i w:val="0"/>
                <w:iCs w:val="0"/>
                <w:color w:val="000000"/>
                <w:kern w:val="0"/>
                <w:sz w:val="21"/>
                <w:szCs w:val="21"/>
                <w:lang w:val="en-US" w:eastAsia="zh-CN" w:bidi="ar"/>
              </w:rPr>
              <w:t>68</w:t>
            </w:r>
            <w:r>
              <w:rPr>
                <w:rFonts w:hint="eastAsia" w:ascii="宋体" w:hAnsi="宋体" w:eastAsia="宋体" w:cs="宋体"/>
                <w:b/>
                <w:bCs/>
                <w:i w:val="0"/>
                <w:iCs w:val="0"/>
                <w:color w:val="000000"/>
                <w:kern w:val="0"/>
                <w:sz w:val="21"/>
                <w:szCs w:val="21"/>
                <w:lang w:val="en-US" w:eastAsia="zh-CN" w:bidi="ar"/>
              </w:rPr>
              <w:t>分）</w:t>
            </w:r>
          </w:p>
        </w:tc>
      </w:tr>
      <w:tr w14:paraId="7FD62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02E19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2.1</w:t>
            </w:r>
          </w:p>
        </w:tc>
        <w:tc>
          <w:tcPr>
            <w:tcW w:w="1110" w:type="dxa"/>
            <w:tcBorders>
              <w:top w:val="single" w:color="000000" w:sz="4" w:space="0"/>
              <w:left w:val="nil"/>
              <w:bottom w:val="single" w:color="000000" w:sz="4" w:space="0"/>
              <w:right w:val="single" w:color="000000" w:sz="4" w:space="0"/>
            </w:tcBorders>
            <w:noWrap w:val="0"/>
            <w:vAlign w:val="center"/>
          </w:tcPr>
          <w:p w14:paraId="05F43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规格及技术性能</w:t>
            </w:r>
          </w:p>
        </w:tc>
        <w:tc>
          <w:tcPr>
            <w:tcW w:w="5886" w:type="dxa"/>
            <w:tcBorders>
              <w:top w:val="single" w:color="000000" w:sz="4" w:space="0"/>
              <w:left w:val="nil"/>
              <w:bottom w:val="single" w:color="000000" w:sz="4" w:space="0"/>
              <w:right w:val="single" w:color="000000" w:sz="4" w:space="0"/>
            </w:tcBorders>
            <w:noWrap w:val="0"/>
            <w:vAlign w:val="center"/>
          </w:tcPr>
          <w:p w14:paraId="4F9BEA1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1"/>
                <w:szCs w:val="21"/>
                <w:highlight w:val="yellow"/>
              </w:rPr>
            </w:pPr>
            <w:r>
              <w:rPr>
                <w:rFonts w:hint="eastAsia" w:ascii="宋体" w:hAnsi="宋体" w:eastAsia="宋体" w:cs="宋体"/>
                <w:i w:val="0"/>
                <w:iCs w:val="0"/>
                <w:color w:val="000000"/>
                <w:kern w:val="0"/>
                <w:sz w:val="21"/>
                <w:szCs w:val="21"/>
                <w:highlight w:val="none"/>
                <w:lang w:val="en-US" w:eastAsia="zh-CN" w:bidi="ar"/>
              </w:rPr>
              <w:t>全部满足采购需求一览表中</w:t>
            </w:r>
            <w:r>
              <w:rPr>
                <w:rFonts w:hint="eastAsia" w:ascii="宋体" w:hAnsi="宋体" w:cs="宋体"/>
                <w:i w:val="0"/>
                <w:iCs w:val="0"/>
                <w:color w:val="000000"/>
                <w:kern w:val="0"/>
                <w:sz w:val="21"/>
                <w:szCs w:val="21"/>
                <w:highlight w:val="none"/>
                <w:lang w:val="en-US" w:eastAsia="zh-CN" w:bidi="ar"/>
              </w:rPr>
              <w:t>所有指标</w:t>
            </w:r>
            <w:r>
              <w:rPr>
                <w:rFonts w:hint="eastAsia" w:ascii="宋体" w:hAnsi="宋体" w:eastAsia="宋体" w:cs="宋体"/>
                <w:i w:val="0"/>
                <w:iCs w:val="0"/>
                <w:color w:val="000000"/>
                <w:kern w:val="0"/>
                <w:sz w:val="21"/>
                <w:szCs w:val="21"/>
                <w:highlight w:val="none"/>
                <w:lang w:val="en-US" w:eastAsia="zh-CN" w:bidi="ar"/>
              </w:rPr>
              <w:t>的得满分，带</w:t>
            </w:r>
            <w:r>
              <w:rPr>
                <w:rFonts w:hint="eastAsia" w:ascii="宋体" w:hAnsi="宋体" w:cs="宋体"/>
                <w:i w:val="0"/>
                <w:iCs w:val="0"/>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的指标为重要技术指标，每一项有负偏离的扣5分，其他指标不满足每条扣1分，扣完为止。</w:t>
            </w:r>
          </w:p>
        </w:tc>
        <w:tc>
          <w:tcPr>
            <w:tcW w:w="696" w:type="dxa"/>
            <w:tcBorders>
              <w:top w:val="single" w:color="000000" w:sz="4" w:space="0"/>
              <w:left w:val="nil"/>
              <w:bottom w:val="single" w:color="000000" w:sz="4" w:space="0"/>
              <w:right w:val="single" w:color="000000" w:sz="4" w:space="0"/>
            </w:tcBorders>
            <w:noWrap w:val="0"/>
            <w:vAlign w:val="center"/>
          </w:tcPr>
          <w:p w14:paraId="2FBF4A9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2"/>
                <w:sz w:val="21"/>
                <w:szCs w:val="21"/>
                <w:highlight w:val="yellow"/>
              </w:rPr>
            </w:pPr>
            <w:r>
              <w:rPr>
                <w:rFonts w:hint="eastAsia" w:ascii="宋体" w:hAnsi="宋体" w:eastAsia="宋体" w:cs="宋体"/>
                <w:i w:val="0"/>
                <w:iCs w:val="0"/>
                <w:color w:val="000000"/>
                <w:kern w:val="0"/>
                <w:sz w:val="21"/>
                <w:szCs w:val="21"/>
                <w:highlight w:val="none"/>
                <w:lang w:val="en-US" w:eastAsia="zh-CN" w:bidi="ar"/>
              </w:rPr>
              <w:t>满分30分</w:t>
            </w:r>
          </w:p>
        </w:tc>
      </w:tr>
      <w:tr w14:paraId="3303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8"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3D49D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2.2</w:t>
            </w:r>
          </w:p>
        </w:tc>
        <w:tc>
          <w:tcPr>
            <w:tcW w:w="1110" w:type="dxa"/>
            <w:tcBorders>
              <w:top w:val="single" w:color="000000" w:sz="4" w:space="0"/>
              <w:left w:val="nil"/>
              <w:bottom w:val="single" w:color="000000" w:sz="4" w:space="0"/>
              <w:right w:val="single" w:color="000000" w:sz="4" w:space="0"/>
            </w:tcBorders>
            <w:noWrap w:val="0"/>
            <w:vAlign w:val="center"/>
          </w:tcPr>
          <w:p w14:paraId="24032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项目实施管理方案</w:t>
            </w:r>
          </w:p>
        </w:tc>
        <w:tc>
          <w:tcPr>
            <w:tcW w:w="5886" w:type="dxa"/>
            <w:tcBorders>
              <w:top w:val="single" w:color="000000" w:sz="4" w:space="0"/>
              <w:left w:val="nil"/>
              <w:bottom w:val="single" w:color="000000" w:sz="4" w:space="0"/>
              <w:right w:val="single" w:color="000000" w:sz="4" w:space="0"/>
            </w:tcBorders>
            <w:noWrap w:val="0"/>
            <w:vAlign w:val="center"/>
          </w:tcPr>
          <w:p w14:paraId="32ACA64F">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由评审专家小组根据各供应商提供的“项目实施管理方案”内容，确定所属档次并在相应档次内独立打分。不提供的，得0分。项目实施方案包含“进度安排计划、项目管理组织设置、项目控制及需求变更处理方案”等内容。</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一档（</w:t>
            </w:r>
            <w:r>
              <w:rPr>
                <w:rFonts w:hint="eastAsia" w:ascii="宋体" w:hAnsi="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lang w:val="en-US" w:eastAsia="zh-CN" w:bidi="ar"/>
              </w:rPr>
              <w:t>分）：提供了进度安排计划，内容简单，可行性一般。</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二档（</w:t>
            </w:r>
            <w:r>
              <w:rPr>
                <w:rFonts w:hint="eastAsia" w:ascii="宋体" w:hAnsi="宋体" w:cs="宋体"/>
                <w:i w:val="0"/>
                <w:iCs w:val="0"/>
                <w:color w:val="000000"/>
                <w:kern w:val="0"/>
                <w:sz w:val="21"/>
                <w:szCs w:val="21"/>
                <w:lang w:val="en-US" w:eastAsia="zh-CN" w:bidi="ar"/>
              </w:rPr>
              <w:t>8</w:t>
            </w:r>
            <w:r>
              <w:rPr>
                <w:rFonts w:hint="eastAsia" w:ascii="宋体" w:hAnsi="宋体" w:eastAsia="宋体" w:cs="宋体"/>
                <w:i w:val="0"/>
                <w:iCs w:val="0"/>
                <w:color w:val="000000"/>
                <w:kern w:val="0"/>
                <w:sz w:val="21"/>
                <w:szCs w:val="21"/>
                <w:lang w:val="en-US" w:eastAsia="zh-CN" w:bidi="ar"/>
              </w:rPr>
              <w:t>分）：在一档的基础上，有较为合理地实施管理，对项目实施资源有一定的需求分析，内容基本满足项目采购实施要求；</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三档（</w:t>
            </w:r>
            <w:r>
              <w:rPr>
                <w:rFonts w:hint="eastAsia" w:ascii="宋体" w:hAnsi="宋体" w:cs="宋体"/>
                <w:i w:val="0"/>
                <w:iCs w:val="0"/>
                <w:color w:val="000000"/>
                <w:kern w:val="0"/>
                <w:sz w:val="21"/>
                <w:szCs w:val="21"/>
                <w:lang w:val="en-US" w:eastAsia="zh-CN" w:bidi="ar"/>
              </w:rPr>
              <w:t>12</w:t>
            </w:r>
            <w:r>
              <w:rPr>
                <w:rFonts w:hint="eastAsia" w:ascii="宋体" w:hAnsi="宋体" w:eastAsia="宋体" w:cs="宋体"/>
                <w:i w:val="0"/>
                <w:iCs w:val="0"/>
                <w:color w:val="000000"/>
                <w:kern w:val="0"/>
                <w:sz w:val="21"/>
                <w:szCs w:val="21"/>
                <w:lang w:val="en-US" w:eastAsia="zh-CN" w:bidi="ar"/>
              </w:rPr>
              <w:t>分）：在二档的基础上，实施管理应遵循先进性和实用性统筹原则，有详细的组织计划、项目控制及需求变更处理方案，提供系统上线方案。</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四档（1</w:t>
            </w:r>
            <w:r>
              <w:rPr>
                <w:rFonts w:hint="eastAsia" w:ascii="宋体" w:hAnsi="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lang w:val="en-US" w:eastAsia="zh-CN" w:bidi="ar"/>
              </w:rPr>
              <w:t>分）：在三档的基础上，实施管理还应遵循开放性和信息一体化集成的原则，提供详细的人员培训方案，详细介绍了培训目标、培训计划、培训对象及考核标准。</w:t>
            </w:r>
          </w:p>
        </w:tc>
        <w:tc>
          <w:tcPr>
            <w:tcW w:w="696" w:type="dxa"/>
            <w:tcBorders>
              <w:top w:val="single" w:color="000000" w:sz="4" w:space="0"/>
              <w:left w:val="nil"/>
              <w:bottom w:val="single" w:color="000000" w:sz="4" w:space="0"/>
              <w:right w:val="single" w:color="000000" w:sz="4" w:space="0"/>
            </w:tcBorders>
            <w:noWrap w:val="0"/>
            <w:vAlign w:val="center"/>
          </w:tcPr>
          <w:p w14:paraId="021FF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满分1</w:t>
            </w:r>
            <w:r>
              <w:rPr>
                <w:rFonts w:hint="eastAsia" w:ascii="宋体" w:hAnsi="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lang w:val="en-US" w:eastAsia="zh-CN" w:bidi="ar"/>
              </w:rPr>
              <w:t>分</w:t>
            </w:r>
          </w:p>
        </w:tc>
      </w:tr>
      <w:tr w14:paraId="7A9E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68EA6B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2.3</w:t>
            </w:r>
          </w:p>
        </w:tc>
        <w:tc>
          <w:tcPr>
            <w:tcW w:w="1110" w:type="dxa"/>
            <w:tcBorders>
              <w:top w:val="single" w:color="000000" w:sz="4" w:space="0"/>
              <w:left w:val="nil"/>
              <w:bottom w:val="single" w:color="000000" w:sz="4" w:space="0"/>
              <w:right w:val="single" w:color="000000" w:sz="4" w:space="0"/>
            </w:tcBorders>
            <w:noWrap w:val="0"/>
            <w:vAlign w:val="center"/>
          </w:tcPr>
          <w:p w14:paraId="54379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工作重点及难点解决方案</w:t>
            </w:r>
          </w:p>
        </w:tc>
        <w:tc>
          <w:tcPr>
            <w:tcW w:w="5886" w:type="dxa"/>
            <w:tcBorders>
              <w:top w:val="single" w:color="000000" w:sz="4" w:space="0"/>
              <w:left w:val="nil"/>
              <w:bottom w:val="single" w:color="000000" w:sz="4" w:space="0"/>
              <w:right w:val="single" w:color="000000" w:sz="4" w:space="0"/>
            </w:tcBorders>
            <w:noWrap w:val="0"/>
            <w:vAlign w:val="center"/>
          </w:tcPr>
          <w:p w14:paraId="1734DEC4">
            <w:pPr>
              <w:pStyle w:val="2"/>
              <w:ind w:left="0" w:leftChars="0" w:firstLine="0" w:firstLineChars="0"/>
              <w:rPr>
                <w:rFonts w:hint="eastAsia"/>
                <w:lang w:val="en-US" w:eastAsia="zh-CN"/>
              </w:rPr>
            </w:pPr>
            <w:r>
              <w:rPr>
                <w:rFonts w:hint="eastAsia"/>
                <w:lang w:val="en-US" w:eastAsia="zh-CN"/>
              </w:rPr>
              <w:t>由评审专家小组根据各供应商提供的“工作重点及难点解决方案”内容，确定所属档次并在相应档次内独立打分。不提供的，得0分。</w:t>
            </w:r>
          </w:p>
          <w:p w14:paraId="32B24ABB">
            <w:pPr>
              <w:pStyle w:val="2"/>
              <w:ind w:left="0" w:leftChars="0" w:firstLine="0"/>
              <w:rPr>
                <w:rFonts w:hint="eastAsia"/>
                <w:lang w:val="en-US" w:eastAsia="zh-CN"/>
              </w:rPr>
            </w:pPr>
            <w:r>
              <w:rPr>
                <w:rFonts w:hint="eastAsia"/>
                <w:lang w:val="en-US" w:eastAsia="zh-CN"/>
              </w:rPr>
              <w:t>一档（2分）：对工作的重点及难点理解不足、分析不全面、对经常出现的各种问题及处理方案的描述不具体。</w:t>
            </w:r>
          </w:p>
          <w:p w14:paraId="517F064F">
            <w:pPr>
              <w:pStyle w:val="2"/>
              <w:ind w:left="0" w:leftChars="0" w:firstLine="0"/>
              <w:rPr>
                <w:rFonts w:hint="eastAsia"/>
                <w:lang w:val="en-US" w:eastAsia="zh-CN"/>
              </w:rPr>
            </w:pPr>
            <w:r>
              <w:rPr>
                <w:rFonts w:hint="eastAsia"/>
                <w:lang w:val="en-US" w:eastAsia="zh-CN"/>
              </w:rPr>
              <w:t>二档（5分）：有对工作的重点及难点一定程度的理解与分析，对经常出现的各种问题及处理方案的描述较具体；</w:t>
            </w:r>
          </w:p>
          <w:p w14:paraId="5068F1F2">
            <w:pPr>
              <w:pStyle w:val="2"/>
              <w:ind w:left="0" w:leftChars="0" w:firstLine="0"/>
              <w:rPr>
                <w:rFonts w:hint="eastAsia"/>
                <w:lang w:val="en-US" w:eastAsia="zh-CN"/>
              </w:rPr>
            </w:pPr>
            <w:r>
              <w:rPr>
                <w:rFonts w:hint="eastAsia"/>
                <w:lang w:val="en-US" w:eastAsia="zh-CN"/>
              </w:rPr>
              <w:t>三档（8分）：对工作的重点及难点理解较深刻、分析较准确、能较详细的描述出经常出现的各种问题及处理方案；</w:t>
            </w:r>
          </w:p>
          <w:p w14:paraId="52A5C42D">
            <w:pPr>
              <w:pStyle w:val="2"/>
              <w:ind w:left="0" w:leftChars="0" w:firstLine="0" w:firstLineChars="0"/>
              <w:rPr>
                <w:rFonts w:hint="eastAsia" w:ascii="宋体" w:hAnsi="宋体" w:eastAsia="宋体" w:cs="宋体"/>
                <w:i w:val="0"/>
                <w:iCs w:val="0"/>
                <w:color w:val="000000"/>
                <w:kern w:val="0"/>
                <w:sz w:val="21"/>
                <w:szCs w:val="21"/>
                <w:lang w:val="en-US" w:eastAsia="zh-CN" w:bidi="ar"/>
              </w:rPr>
            </w:pPr>
            <w:r>
              <w:rPr>
                <w:rFonts w:hint="eastAsia" w:ascii="宋体" w:hAnsi="宋体" w:cs="宋体"/>
                <w:i w:val="0"/>
                <w:iCs w:val="0"/>
                <w:color w:val="000000"/>
                <w:kern w:val="0"/>
                <w:sz w:val="21"/>
                <w:szCs w:val="21"/>
                <w:lang w:val="en-US" w:eastAsia="zh-CN" w:bidi="ar"/>
              </w:rPr>
              <w:t>四</w:t>
            </w:r>
            <w:r>
              <w:rPr>
                <w:rFonts w:hint="eastAsia" w:ascii="宋体" w:hAnsi="宋体" w:eastAsia="宋体" w:cs="宋体"/>
                <w:i w:val="0"/>
                <w:iCs w:val="0"/>
                <w:color w:val="000000"/>
                <w:kern w:val="0"/>
                <w:sz w:val="21"/>
                <w:szCs w:val="21"/>
                <w:lang w:val="en-US" w:eastAsia="zh-CN" w:bidi="ar"/>
              </w:rPr>
              <w:t>档（</w:t>
            </w:r>
            <w:r>
              <w:rPr>
                <w:rFonts w:hint="eastAsia" w:ascii="宋体" w:hAnsi="宋体" w:cs="宋体"/>
                <w:i w:val="0"/>
                <w:iCs w:val="0"/>
                <w:color w:val="000000"/>
                <w:kern w:val="0"/>
                <w:sz w:val="21"/>
                <w:szCs w:val="21"/>
                <w:lang w:val="en-US" w:eastAsia="zh-CN" w:bidi="ar"/>
              </w:rPr>
              <w:t>10</w:t>
            </w:r>
            <w:r>
              <w:rPr>
                <w:rFonts w:hint="eastAsia" w:ascii="宋体" w:hAnsi="宋体" w:eastAsia="宋体" w:cs="宋体"/>
                <w:i w:val="0"/>
                <w:iCs w:val="0"/>
                <w:color w:val="000000"/>
                <w:kern w:val="0"/>
                <w:sz w:val="21"/>
                <w:szCs w:val="21"/>
                <w:lang w:val="en-US" w:eastAsia="zh-CN" w:bidi="ar"/>
              </w:rPr>
              <w:t>分）：对工作的重点及难点理解深刻、分析准确、能够精准的描述出经常出现的各种问题及处理方案</w:t>
            </w:r>
            <w:r>
              <w:rPr>
                <w:rFonts w:hint="eastAsia" w:ascii="宋体" w:hAnsi="宋体" w:cs="宋体"/>
                <w:i w:val="0"/>
                <w:iCs w:val="0"/>
                <w:color w:val="000000"/>
                <w:kern w:val="0"/>
                <w:sz w:val="21"/>
                <w:szCs w:val="21"/>
                <w:lang w:val="en-US" w:eastAsia="zh-CN" w:bidi="ar"/>
              </w:rPr>
              <w:t>。</w:t>
            </w:r>
          </w:p>
        </w:tc>
        <w:tc>
          <w:tcPr>
            <w:tcW w:w="696" w:type="dxa"/>
            <w:tcBorders>
              <w:top w:val="single" w:color="000000" w:sz="4" w:space="0"/>
              <w:left w:val="nil"/>
              <w:bottom w:val="single" w:color="000000" w:sz="4" w:space="0"/>
              <w:right w:val="single" w:color="000000" w:sz="4" w:space="0"/>
            </w:tcBorders>
            <w:noWrap w:val="0"/>
            <w:vAlign w:val="center"/>
          </w:tcPr>
          <w:p w14:paraId="7C230D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满分10分</w:t>
            </w:r>
          </w:p>
        </w:tc>
      </w:tr>
      <w:tr w14:paraId="4A2C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2"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38F06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1"/>
                <w:szCs w:val="21"/>
                <w:lang w:val="en-US"/>
              </w:rPr>
            </w:pPr>
            <w:r>
              <w:rPr>
                <w:rFonts w:hint="eastAsia" w:ascii="宋体" w:hAnsi="宋体" w:eastAsia="宋体" w:cs="宋体"/>
                <w:i w:val="0"/>
                <w:iCs w:val="0"/>
                <w:color w:val="000000"/>
                <w:kern w:val="0"/>
                <w:sz w:val="21"/>
                <w:szCs w:val="21"/>
                <w:lang w:val="en-US" w:eastAsia="zh-CN" w:bidi="ar"/>
              </w:rPr>
              <w:t>2.</w:t>
            </w:r>
            <w:r>
              <w:rPr>
                <w:rFonts w:hint="eastAsia" w:ascii="宋体" w:hAnsi="宋体" w:cs="宋体"/>
                <w:i w:val="0"/>
                <w:iCs w:val="0"/>
                <w:color w:val="000000"/>
                <w:kern w:val="0"/>
                <w:sz w:val="21"/>
                <w:szCs w:val="21"/>
                <w:lang w:val="en-US" w:eastAsia="zh-CN" w:bidi="ar"/>
              </w:rPr>
              <w:t>4</w:t>
            </w:r>
          </w:p>
        </w:tc>
        <w:tc>
          <w:tcPr>
            <w:tcW w:w="1110" w:type="dxa"/>
            <w:tcBorders>
              <w:top w:val="single" w:color="000000" w:sz="4" w:space="0"/>
              <w:left w:val="nil"/>
              <w:bottom w:val="single" w:color="000000" w:sz="4" w:space="0"/>
              <w:right w:val="single" w:color="000000" w:sz="4" w:space="0"/>
            </w:tcBorders>
            <w:noWrap w:val="0"/>
            <w:vAlign w:val="center"/>
          </w:tcPr>
          <w:p w14:paraId="7D8A7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售后服务方案</w:t>
            </w:r>
          </w:p>
        </w:tc>
        <w:tc>
          <w:tcPr>
            <w:tcW w:w="5886" w:type="dxa"/>
            <w:tcBorders>
              <w:top w:val="single" w:color="000000" w:sz="4" w:space="0"/>
              <w:left w:val="nil"/>
              <w:bottom w:val="single" w:color="000000" w:sz="4" w:space="0"/>
              <w:right w:val="single" w:color="000000" w:sz="4" w:space="0"/>
            </w:tcBorders>
            <w:noWrap w:val="0"/>
            <w:vAlign w:val="center"/>
          </w:tcPr>
          <w:p w14:paraId="7B93697A">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由评审专家小组根据各供应商提供的“售后服务方案”内容，确定所属档次并在相应档次内独立打分。不提供的，得0分。内容应包含有“售后培训计划、质保期内工作安排、质保期外工作安排”等内容。</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一档（4分）：服务内容、服务实施计划简单，基本符合项目要求的，得4分。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二档（8分）：服务内容符合项目要求，有合理的服务保障，服务实施计划符合本项目的实际；有一定的服务响应体系，能针对不同故障等级制定相应解决方案，提供多种响应手段；</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三档（12分）：满足二档的基础上，供应商或服务厂商</w:t>
            </w:r>
            <w:r>
              <w:rPr>
                <w:rFonts w:hint="eastAsia" w:ascii="宋体" w:hAnsi="宋体" w:cs="宋体"/>
                <w:i w:val="0"/>
                <w:iCs w:val="0"/>
                <w:color w:val="000000"/>
                <w:kern w:val="0"/>
                <w:sz w:val="21"/>
                <w:szCs w:val="21"/>
                <w:lang w:val="en-US" w:eastAsia="zh-CN" w:bidi="ar"/>
              </w:rPr>
              <w:t>针对本项目提供专属售后服务专员，根据医院的具体需求可提供定制化服务方案</w:t>
            </w:r>
            <w:r>
              <w:rPr>
                <w:rFonts w:hint="eastAsia" w:ascii="宋体" w:hAnsi="宋体" w:eastAsia="宋体" w:cs="宋体"/>
                <w:i w:val="0"/>
                <w:iCs w:val="0"/>
                <w:color w:val="000000"/>
                <w:kern w:val="0"/>
                <w:sz w:val="21"/>
                <w:szCs w:val="21"/>
                <w:lang w:val="en-US" w:eastAsia="zh-CN" w:bidi="ar"/>
              </w:rPr>
              <w:t>。</w:t>
            </w:r>
          </w:p>
        </w:tc>
        <w:tc>
          <w:tcPr>
            <w:tcW w:w="696" w:type="dxa"/>
            <w:tcBorders>
              <w:top w:val="single" w:color="000000" w:sz="4" w:space="0"/>
              <w:left w:val="nil"/>
              <w:bottom w:val="single" w:color="000000" w:sz="4" w:space="0"/>
              <w:right w:val="single" w:color="000000" w:sz="4" w:space="0"/>
            </w:tcBorders>
            <w:noWrap w:val="0"/>
            <w:vAlign w:val="center"/>
          </w:tcPr>
          <w:p w14:paraId="55C12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满分12分</w:t>
            </w:r>
          </w:p>
        </w:tc>
      </w:tr>
      <w:tr w14:paraId="1108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0A264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3</w:t>
            </w:r>
          </w:p>
        </w:tc>
        <w:tc>
          <w:tcPr>
            <w:tcW w:w="7692" w:type="dxa"/>
            <w:gridSpan w:val="3"/>
            <w:tcBorders>
              <w:top w:val="single" w:color="000000" w:sz="4" w:space="0"/>
              <w:left w:val="nil"/>
              <w:bottom w:val="single" w:color="000000" w:sz="4" w:space="0"/>
              <w:right w:val="single" w:color="000000" w:sz="4" w:space="0"/>
            </w:tcBorders>
            <w:noWrap w:val="0"/>
            <w:vAlign w:val="center"/>
          </w:tcPr>
          <w:p w14:paraId="3A1840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000000"/>
                <w:kern w:val="2"/>
                <w:sz w:val="21"/>
                <w:szCs w:val="21"/>
              </w:rPr>
            </w:pPr>
            <w:r>
              <w:rPr>
                <w:rFonts w:hint="eastAsia" w:ascii="宋体" w:hAnsi="宋体" w:eastAsia="宋体" w:cs="宋体"/>
                <w:b/>
                <w:bCs/>
                <w:i w:val="0"/>
                <w:iCs w:val="0"/>
                <w:color w:val="000000"/>
                <w:kern w:val="0"/>
                <w:sz w:val="21"/>
                <w:szCs w:val="21"/>
                <w:lang w:val="en-US" w:eastAsia="zh-CN" w:bidi="ar"/>
              </w:rPr>
              <w:t>商务分（满分</w:t>
            </w:r>
            <w:r>
              <w:rPr>
                <w:rFonts w:hint="eastAsia" w:ascii="宋体" w:hAnsi="宋体" w:cs="宋体"/>
                <w:b/>
                <w:bCs/>
                <w:i w:val="0"/>
                <w:iCs w:val="0"/>
                <w:color w:val="000000"/>
                <w:kern w:val="0"/>
                <w:sz w:val="21"/>
                <w:szCs w:val="21"/>
                <w:lang w:val="en-US" w:eastAsia="zh-CN" w:bidi="ar"/>
              </w:rPr>
              <w:t>17</w:t>
            </w:r>
            <w:r>
              <w:rPr>
                <w:rFonts w:hint="eastAsia" w:ascii="宋体" w:hAnsi="宋体" w:eastAsia="宋体" w:cs="宋体"/>
                <w:b/>
                <w:bCs/>
                <w:i w:val="0"/>
                <w:iCs w:val="0"/>
                <w:color w:val="000000"/>
                <w:kern w:val="0"/>
                <w:sz w:val="21"/>
                <w:szCs w:val="21"/>
                <w:lang w:val="en-US" w:eastAsia="zh-CN" w:bidi="ar"/>
              </w:rPr>
              <w:t>分）</w:t>
            </w:r>
          </w:p>
        </w:tc>
      </w:tr>
      <w:tr w14:paraId="28E2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8D66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3.1</w:t>
            </w:r>
          </w:p>
        </w:tc>
        <w:tc>
          <w:tcPr>
            <w:tcW w:w="1110" w:type="dxa"/>
            <w:tcBorders>
              <w:top w:val="single" w:color="000000" w:sz="4" w:space="0"/>
              <w:left w:val="nil"/>
              <w:bottom w:val="single" w:color="000000" w:sz="4" w:space="0"/>
              <w:right w:val="single" w:color="000000" w:sz="4" w:space="0"/>
            </w:tcBorders>
            <w:noWrap w:val="0"/>
            <w:vAlign w:val="center"/>
          </w:tcPr>
          <w:p w14:paraId="49C25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项目业绩</w:t>
            </w:r>
          </w:p>
        </w:tc>
        <w:tc>
          <w:tcPr>
            <w:tcW w:w="5886" w:type="dxa"/>
            <w:tcBorders>
              <w:top w:val="single" w:color="000000" w:sz="4" w:space="0"/>
              <w:left w:val="nil"/>
              <w:bottom w:val="single" w:color="000000" w:sz="4" w:space="0"/>
              <w:right w:val="single" w:color="000000" w:sz="4" w:space="0"/>
            </w:tcBorders>
            <w:noWrap w:val="0"/>
            <w:vAlign w:val="center"/>
          </w:tcPr>
          <w:p w14:paraId="515AB3A5">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供应商2023年至今单独承接过和本项目类似业绩的，提供一个得2分，本项满分</w:t>
            </w:r>
            <w:r>
              <w:rPr>
                <w:rFonts w:hint="eastAsia" w:ascii="宋体" w:hAnsi="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lang w:val="en-US" w:eastAsia="zh-CN" w:bidi="ar"/>
              </w:rPr>
              <w:t>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注：须提供合同协议书或成交通知书复印件，并加盖公章。合同协议书或成交通知书须体现项目名称、签订双方名称、主要服务内容、双方盖章等内容，缺一不可。</w:t>
            </w:r>
          </w:p>
        </w:tc>
        <w:tc>
          <w:tcPr>
            <w:tcW w:w="696" w:type="dxa"/>
            <w:tcBorders>
              <w:top w:val="single" w:color="000000" w:sz="4" w:space="0"/>
              <w:left w:val="nil"/>
              <w:bottom w:val="single" w:color="000000" w:sz="4" w:space="0"/>
              <w:right w:val="single" w:color="000000" w:sz="4" w:space="0"/>
            </w:tcBorders>
            <w:noWrap w:val="0"/>
            <w:vAlign w:val="center"/>
          </w:tcPr>
          <w:p w14:paraId="3D3E6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w:t>
            </w:r>
            <w:r>
              <w:rPr>
                <w:rFonts w:hint="eastAsia" w:ascii="宋体" w:hAnsi="宋体" w:cs="宋体"/>
                <w:i w:val="0"/>
                <w:iCs w:val="0"/>
                <w:color w:val="000000"/>
                <w:kern w:val="0"/>
                <w:sz w:val="21"/>
                <w:szCs w:val="21"/>
                <w:lang w:val="en-US" w:eastAsia="zh-CN" w:bidi="ar"/>
              </w:rPr>
              <w:t>6</w:t>
            </w:r>
            <w:r>
              <w:rPr>
                <w:rFonts w:hint="eastAsia" w:ascii="宋体" w:hAnsi="宋体" w:eastAsia="宋体" w:cs="宋体"/>
                <w:i w:val="0"/>
                <w:iCs w:val="0"/>
                <w:color w:val="000000"/>
                <w:kern w:val="0"/>
                <w:sz w:val="21"/>
                <w:szCs w:val="21"/>
                <w:lang w:val="en-US" w:eastAsia="zh-CN" w:bidi="ar"/>
              </w:rPr>
              <w:t>分</w:t>
            </w:r>
          </w:p>
        </w:tc>
      </w:tr>
      <w:tr w14:paraId="3B99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5B1A5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3.2</w:t>
            </w:r>
          </w:p>
        </w:tc>
        <w:tc>
          <w:tcPr>
            <w:tcW w:w="1110" w:type="dxa"/>
            <w:tcBorders>
              <w:top w:val="single" w:color="000000" w:sz="4" w:space="0"/>
              <w:left w:val="nil"/>
              <w:bottom w:val="single" w:color="000000" w:sz="4" w:space="0"/>
              <w:right w:val="single" w:color="000000" w:sz="4" w:space="0"/>
            </w:tcBorders>
            <w:noWrap w:val="0"/>
            <w:vAlign w:val="center"/>
          </w:tcPr>
          <w:p w14:paraId="04CD9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产品著作权</w:t>
            </w:r>
          </w:p>
        </w:tc>
        <w:tc>
          <w:tcPr>
            <w:tcW w:w="5886" w:type="dxa"/>
            <w:tcBorders>
              <w:top w:val="single" w:color="000000" w:sz="4" w:space="0"/>
              <w:left w:val="nil"/>
              <w:bottom w:val="single" w:color="000000" w:sz="4" w:space="0"/>
              <w:right w:val="single" w:color="000000" w:sz="4" w:space="0"/>
            </w:tcBorders>
            <w:noWrap w:val="0"/>
            <w:vAlign w:val="center"/>
          </w:tcPr>
          <w:p w14:paraId="101C7037">
            <w:pPr>
              <w:keepNext w:val="0"/>
              <w:keepLines w:val="0"/>
              <w:widowControl/>
              <w:suppressLineNumbers w:val="0"/>
              <w:spacing w:before="0" w:beforeAutospacing="0" w:after="0" w:afterAutospacing="0"/>
              <w:ind w:left="0" w:right="0" w:firstLineChars="100"/>
              <w:jc w:val="both"/>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供应商具备病案（统计）管理系统软件著作权证书得3分，满分3分。</w:t>
            </w:r>
            <w:r>
              <w:rPr>
                <w:rFonts w:hint="eastAsia" w:ascii="宋体" w:hAnsi="宋体" w:eastAsia="宋体" w:cs="宋体"/>
                <w:i w:val="0"/>
                <w:iCs w:val="0"/>
                <w:color w:val="000000"/>
                <w:kern w:val="0"/>
                <w:sz w:val="21"/>
                <w:szCs w:val="21"/>
                <w:lang w:val="en-US" w:eastAsia="zh-CN" w:bidi="ar"/>
              </w:rPr>
              <w:br w:type="textWrapping"/>
            </w:r>
            <w:r>
              <w:rPr>
                <w:rFonts w:hint="eastAsia" w:ascii="宋体" w:hAnsi="宋体" w:eastAsia="宋体" w:cs="宋体"/>
                <w:i w:val="0"/>
                <w:iCs w:val="0"/>
                <w:color w:val="000000"/>
                <w:kern w:val="0"/>
                <w:sz w:val="21"/>
                <w:szCs w:val="21"/>
                <w:lang w:val="en-US" w:eastAsia="zh-CN" w:bidi="ar"/>
              </w:rPr>
              <w:t>注：应提供国家版权局颁发的计算机软件著作权登记证书复印件（证书须能体现供应商为著作权人，证书取得日期应早于本项目采购公告日期）。</w:t>
            </w:r>
          </w:p>
        </w:tc>
        <w:tc>
          <w:tcPr>
            <w:tcW w:w="696" w:type="dxa"/>
            <w:tcBorders>
              <w:top w:val="single" w:color="000000" w:sz="4" w:space="0"/>
              <w:left w:val="nil"/>
              <w:bottom w:val="single" w:color="000000" w:sz="4" w:space="0"/>
              <w:right w:val="single" w:color="000000" w:sz="4" w:space="0"/>
            </w:tcBorders>
            <w:noWrap w:val="0"/>
            <w:vAlign w:val="center"/>
          </w:tcPr>
          <w:p w14:paraId="522EB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1"/>
                <w:szCs w:val="21"/>
              </w:rPr>
            </w:pPr>
            <w:r>
              <w:rPr>
                <w:rFonts w:hint="eastAsia" w:ascii="宋体" w:hAnsi="宋体" w:eastAsia="宋体" w:cs="宋体"/>
                <w:i w:val="0"/>
                <w:iCs w:val="0"/>
                <w:color w:val="000000"/>
                <w:kern w:val="0"/>
                <w:sz w:val="21"/>
                <w:szCs w:val="21"/>
                <w:lang w:val="en-US" w:eastAsia="zh-CN" w:bidi="ar"/>
              </w:rPr>
              <w:t>满分3分</w:t>
            </w:r>
          </w:p>
        </w:tc>
      </w:tr>
      <w:tr w14:paraId="10FE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84" w:type="dxa"/>
            <w:tcBorders>
              <w:top w:val="single" w:color="000000" w:sz="4" w:space="0"/>
              <w:left w:val="single" w:color="000000" w:sz="4" w:space="0"/>
              <w:bottom w:val="single" w:color="000000" w:sz="4" w:space="0"/>
              <w:right w:val="single" w:color="000000" w:sz="4" w:space="0"/>
            </w:tcBorders>
            <w:noWrap w:val="0"/>
            <w:vAlign w:val="center"/>
          </w:tcPr>
          <w:p w14:paraId="2B6AEF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3.3</w:t>
            </w:r>
          </w:p>
        </w:tc>
        <w:tc>
          <w:tcPr>
            <w:tcW w:w="1110" w:type="dxa"/>
            <w:tcBorders>
              <w:top w:val="single" w:color="000000" w:sz="4" w:space="0"/>
              <w:left w:val="nil"/>
              <w:bottom w:val="single" w:color="000000" w:sz="4" w:space="0"/>
              <w:right w:val="single" w:color="000000" w:sz="4" w:space="0"/>
            </w:tcBorders>
            <w:noWrap w:val="0"/>
            <w:vAlign w:val="center"/>
          </w:tcPr>
          <w:p w14:paraId="3597F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实力信誉</w:t>
            </w:r>
          </w:p>
        </w:tc>
        <w:tc>
          <w:tcPr>
            <w:tcW w:w="5886" w:type="dxa"/>
            <w:tcBorders>
              <w:top w:val="single" w:color="000000" w:sz="4" w:space="0"/>
              <w:left w:val="nil"/>
              <w:bottom w:val="single" w:color="000000" w:sz="4" w:space="0"/>
              <w:right w:val="single" w:color="000000" w:sz="4" w:space="0"/>
            </w:tcBorders>
            <w:noWrap w:val="0"/>
            <w:vAlign w:val="center"/>
          </w:tcPr>
          <w:p w14:paraId="5CD3BB79">
            <w:pPr>
              <w:rPr>
                <w:rFonts w:hint="default"/>
                <w:lang w:val="en-US" w:eastAsia="zh-CN"/>
              </w:rPr>
            </w:pPr>
            <w:r>
              <w:rPr>
                <w:rFonts w:hint="eastAsia"/>
                <w:lang w:val="en-US" w:eastAsia="zh-CN"/>
              </w:rPr>
              <w:t>供应商具备以下证书，每提供一个得1分，满分8分。</w:t>
            </w:r>
          </w:p>
          <w:p w14:paraId="0A675BD8">
            <w:pPr>
              <w:rPr>
                <w:rFonts w:hint="eastAsia"/>
              </w:rPr>
            </w:pPr>
            <w:r>
              <w:rPr>
                <w:rFonts w:hint="eastAsia"/>
                <w:lang w:val="en-US" w:eastAsia="zh-CN"/>
              </w:rPr>
              <w:t>1、</w:t>
            </w:r>
            <w:r>
              <w:rPr>
                <w:rFonts w:hint="eastAsia"/>
              </w:rPr>
              <w:t>具有CMMI(软件能力成熟度模型集成)</w:t>
            </w:r>
            <w:r>
              <w:rPr>
                <w:rFonts w:hint="eastAsia"/>
                <w:lang w:val="en-US" w:eastAsia="zh-CN"/>
              </w:rPr>
              <w:t>五</w:t>
            </w:r>
            <w:r>
              <w:rPr>
                <w:rFonts w:hint="eastAsia"/>
              </w:rPr>
              <w:t>级证书。</w:t>
            </w:r>
          </w:p>
          <w:p w14:paraId="6E85781D">
            <w:pPr>
              <w:rPr>
                <w:rFonts w:hint="eastAsia"/>
                <w:lang w:val="en-US" w:eastAsia="zh-CN"/>
              </w:rPr>
            </w:pPr>
            <w:r>
              <w:rPr>
                <w:rFonts w:hint="eastAsia"/>
                <w:lang w:val="en-US" w:eastAsia="zh-CN"/>
              </w:rPr>
              <w:t>2、获得高新企业证书。</w:t>
            </w:r>
          </w:p>
          <w:p w14:paraId="57271FA1">
            <w:pPr>
              <w:rPr>
                <w:rFonts w:hint="eastAsia"/>
              </w:rPr>
            </w:pPr>
            <w:r>
              <w:rPr>
                <w:rFonts w:hint="eastAsia"/>
                <w:lang w:val="en-US" w:eastAsia="zh-CN"/>
              </w:rPr>
              <w:t>3、</w:t>
            </w:r>
            <w:r>
              <w:rPr>
                <w:rFonts w:hint="eastAsia"/>
              </w:rPr>
              <w:t>获得ISO 9001质量管理体系认证证书。</w:t>
            </w:r>
          </w:p>
          <w:p w14:paraId="56724F3B">
            <w:pPr>
              <w:rPr>
                <w:rFonts w:hint="eastAsia"/>
              </w:rPr>
            </w:pPr>
            <w:r>
              <w:rPr>
                <w:rFonts w:hint="eastAsia"/>
                <w:lang w:val="en-US" w:eastAsia="zh-CN"/>
              </w:rPr>
              <w:t>4、</w:t>
            </w:r>
            <w:r>
              <w:rPr>
                <w:rFonts w:hint="eastAsia"/>
              </w:rPr>
              <w:t>获得ISO 20000信息技术服务管理体系认证证书。</w:t>
            </w:r>
          </w:p>
          <w:p w14:paraId="380F24AF">
            <w:pPr>
              <w:rPr>
                <w:rFonts w:hint="eastAsia"/>
              </w:rPr>
            </w:pPr>
            <w:r>
              <w:rPr>
                <w:rFonts w:hint="eastAsia"/>
                <w:lang w:val="en-US" w:eastAsia="zh-CN"/>
              </w:rPr>
              <w:t>5、</w:t>
            </w:r>
            <w:r>
              <w:rPr>
                <w:rFonts w:hint="eastAsia"/>
              </w:rPr>
              <w:t>获得ISO 27001信息安全管理体系认证证书。</w:t>
            </w:r>
          </w:p>
          <w:p w14:paraId="0F5B84F8">
            <w:pPr>
              <w:rPr>
                <w:rFonts w:hint="eastAsia"/>
                <w:lang w:val="en-US" w:eastAsia="zh-CN"/>
              </w:rPr>
            </w:pPr>
            <w:r>
              <w:rPr>
                <w:rFonts w:hint="eastAsia"/>
                <w:lang w:val="en-US" w:eastAsia="zh-CN"/>
              </w:rPr>
              <w:t>6、获得ISO 14001环境管理体系认证证书。</w:t>
            </w:r>
          </w:p>
          <w:p w14:paraId="233F2B57">
            <w:pPr>
              <w:rPr>
                <w:rFonts w:hint="eastAsia"/>
                <w:lang w:val="en-US" w:eastAsia="zh-CN"/>
              </w:rPr>
            </w:pPr>
            <w:r>
              <w:rPr>
                <w:rFonts w:hint="eastAsia"/>
                <w:lang w:val="en-US" w:eastAsia="zh-CN"/>
              </w:rPr>
              <w:t>7、获得ISO45001职业健康安全管理体系认证证书。</w:t>
            </w:r>
          </w:p>
          <w:p w14:paraId="48BB87D2">
            <w:pPr>
              <w:rPr>
                <w:rFonts w:hint="eastAsia"/>
                <w:lang w:val="en-US" w:eastAsia="zh-CN"/>
              </w:rPr>
            </w:pPr>
            <w:r>
              <w:rPr>
                <w:rFonts w:hint="eastAsia"/>
                <w:lang w:val="en-US" w:eastAsia="zh-CN"/>
              </w:rPr>
              <w:t>8、获得CN-DRGs分组器授权许可文件。</w:t>
            </w:r>
          </w:p>
          <w:p w14:paraId="1F93FCF2">
            <w:pPr>
              <w:rPr>
                <w:rFonts w:hint="eastAsia"/>
                <w:lang w:val="en-US" w:eastAsia="zh-CN"/>
              </w:rPr>
            </w:pPr>
            <w:r>
              <w:rPr>
                <w:rFonts w:hint="eastAsia"/>
                <w:lang w:val="en-US" w:eastAsia="zh-CN"/>
              </w:rPr>
              <w:t>9、获得ISO27701隐私信息管理体系认证证书。</w:t>
            </w:r>
          </w:p>
          <w:p w14:paraId="67F94EDE">
            <w:pPr>
              <w:rPr>
                <w:rFonts w:hint="eastAsia"/>
                <w:lang w:val="en-US" w:eastAsia="zh-CN"/>
              </w:rPr>
            </w:pPr>
            <w:r>
              <w:rPr>
                <w:rFonts w:hint="eastAsia"/>
                <w:lang w:val="en-US" w:eastAsia="zh-CN"/>
              </w:rPr>
              <w:t>10、获得软件企业证书。</w:t>
            </w:r>
          </w:p>
          <w:p w14:paraId="5143C0CF">
            <w:pPr>
              <w:rPr>
                <w:rFonts w:hint="default"/>
                <w:lang w:val="en-US" w:eastAsia="zh-CN"/>
              </w:rPr>
            </w:pPr>
            <w:r>
              <w:rPr>
                <w:rFonts w:hint="eastAsia"/>
                <w:lang w:val="en-US" w:eastAsia="zh-CN"/>
              </w:rPr>
              <w:t>11、获得涉密信息系统集成资质证书。</w:t>
            </w:r>
          </w:p>
        </w:tc>
        <w:tc>
          <w:tcPr>
            <w:tcW w:w="696" w:type="dxa"/>
            <w:tcBorders>
              <w:top w:val="single" w:color="000000" w:sz="4" w:space="0"/>
              <w:left w:val="nil"/>
              <w:bottom w:val="single" w:color="000000" w:sz="4" w:space="0"/>
              <w:right w:val="single" w:color="000000" w:sz="4" w:space="0"/>
            </w:tcBorders>
            <w:noWrap w:val="0"/>
            <w:vAlign w:val="center"/>
          </w:tcPr>
          <w:p w14:paraId="433766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lang w:val="en-US" w:eastAsia="zh-CN" w:bidi="ar"/>
              </w:rPr>
            </w:pPr>
            <w:r>
              <w:rPr>
                <w:rFonts w:hint="eastAsia" w:ascii="宋体" w:hAnsi="宋体" w:eastAsia="宋体" w:cs="宋体"/>
                <w:i w:val="0"/>
                <w:iCs w:val="0"/>
                <w:color w:val="000000"/>
                <w:kern w:val="0"/>
                <w:sz w:val="21"/>
                <w:szCs w:val="21"/>
                <w:lang w:val="en-US" w:eastAsia="zh-CN" w:bidi="ar"/>
              </w:rPr>
              <w:t>满分8分</w:t>
            </w:r>
          </w:p>
        </w:tc>
      </w:tr>
    </w:tbl>
    <w:p w14:paraId="62903352">
      <w:pPr>
        <w:pStyle w:val="20"/>
        <w:rPr>
          <w:rFonts w:hint="eastAsia"/>
          <w:lang w:val="en-US" w:eastAsia="zh-CN"/>
        </w:rPr>
      </w:pPr>
    </w:p>
    <w:p w14:paraId="2B466AB7">
      <w:pPr>
        <w:pStyle w:val="20"/>
        <w:rPr>
          <w:rFonts w:hint="default"/>
          <w:sz w:val="21"/>
          <w:szCs w:val="21"/>
          <w:lang w:val="en-US" w:eastAsia="zh-CN"/>
        </w:rPr>
      </w:pPr>
    </w:p>
    <w:sectPr>
      <w:headerReference r:id="rId3"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B6ED">
    <w:pPr>
      <w:pStyle w:val="14"/>
      <w:tabs>
        <w:tab w:val="right" w:pos="9040"/>
        <w:tab w:val="clear" w:pos="8306"/>
      </w:tabs>
      <w:ind w:left="-1" w:leftChars="-295" w:right="-733" w:rightChars="-349" w:hanging="618" w:hangingChars="309"/>
      <w:jc w:val="left"/>
      <w:rPr>
        <w:rFonts w:hint="default" w:eastAsia="宋体"/>
        <w:lang w:val="en-US" w:eastAsia="zh-CN"/>
      </w:rPr>
    </w:pPr>
    <w:r>
      <w:rPr>
        <w:rFonts w:hint="eastAsia"/>
        <w:sz w:val="20"/>
        <w:szCs w:val="20"/>
        <w:lang w:val="en-US" w:eastAsia="zh-CN"/>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8F83"/>
    <w:multiLevelType w:val="singleLevel"/>
    <w:tmpl w:val="8BD88F83"/>
    <w:lvl w:ilvl="0" w:tentative="0">
      <w:start w:val="1"/>
      <w:numFmt w:val="decimal"/>
      <w:suff w:val="nothing"/>
      <w:lvlText w:val="%1．"/>
      <w:lvlJc w:val="left"/>
      <w:pPr>
        <w:ind w:left="0" w:firstLine="0"/>
      </w:pPr>
      <w:rPr>
        <w:rFonts w:hint="default"/>
      </w:rPr>
    </w:lvl>
  </w:abstractNum>
  <w:abstractNum w:abstractNumId="1">
    <w:nsid w:val="9507E98C"/>
    <w:multiLevelType w:val="singleLevel"/>
    <w:tmpl w:val="9507E98C"/>
    <w:lvl w:ilvl="0" w:tentative="0">
      <w:start w:val="1"/>
      <w:numFmt w:val="decimal"/>
      <w:suff w:val="nothing"/>
      <w:lvlText w:val="%1."/>
      <w:lvlJc w:val="left"/>
      <w:pPr>
        <w:ind w:left="425" w:hanging="425"/>
      </w:pPr>
      <w:rPr>
        <w:rFonts w:hint="default"/>
      </w:rPr>
    </w:lvl>
  </w:abstractNum>
  <w:abstractNum w:abstractNumId="2">
    <w:nsid w:val="9F171ACF"/>
    <w:multiLevelType w:val="singleLevel"/>
    <w:tmpl w:val="9F171ACF"/>
    <w:lvl w:ilvl="0" w:tentative="0">
      <w:start w:val="2"/>
      <w:numFmt w:val="decimal"/>
      <w:suff w:val="nothing"/>
      <w:lvlText w:val="%1、"/>
      <w:lvlJc w:val="left"/>
    </w:lvl>
  </w:abstractNum>
  <w:abstractNum w:abstractNumId="3">
    <w:nsid w:val="A8B41CAE"/>
    <w:multiLevelType w:val="singleLevel"/>
    <w:tmpl w:val="A8B41CAE"/>
    <w:lvl w:ilvl="0" w:tentative="0">
      <w:start w:val="1"/>
      <w:numFmt w:val="decimal"/>
      <w:suff w:val="nothing"/>
      <w:lvlText w:val="%1．"/>
      <w:lvlJc w:val="left"/>
      <w:pPr>
        <w:ind w:left="0" w:firstLine="0"/>
      </w:pPr>
      <w:rPr>
        <w:rFonts w:hint="default"/>
      </w:rPr>
    </w:lvl>
  </w:abstractNum>
  <w:abstractNum w:abstractNumId="4">
    <w:nsid w:val="A8C07F81"/>
    <w:multiLevelType w:val="singleLevel"/>
    <w:tmpl w:val="A8C07F81"/>
    <w:lvl w:ilvl="0" w:tentative="0">
      <w:start w:val="1"/>
      <w:numFmt w:val="decimal"/>
      <w:suff w:val="nothing"/>
      <w:lvlText w:val="(%1)"/>
      <w:lvlJc w:val="left"/>
      <w:pPr>
        <w:ind w:left="0" w:firstLine="0"/>
      </w:pPr>
      <w:rPr>
        <w:rFonts w:hint="default" w:ascii="宋体" w:hAnsi="宋体" w:eastAsia="宋体" w:cs="宋体"/>
        <w:sz w:val="21"/>
        <w:szCs w:val="21"/>
      </w:rPr>
    </w:lvl>
  </w:abstractNum>
  <w:abstractNum w:abstractNumId="5">
    <w:nsid w:val="BF32A4D2"/>
    <w:multiLevelType w:val="singleLevel"/>
    <w:tmpl w:val="BF32A4D2"/>
    <w:lvl w:ilvl="0" w:tentative="0">
      <w:start w:val="1"/>
      <w:numFmt w:val="decimal"/>
      <w:suff w:val="nothing"/>
      <w:lvlText w:val="%1．"/>
      <w:lvlJc w:val="left"/>
      <w:pPr>
        <w:ind w:left="0" w:firstLine="0"/>
      </w:pPr>
      <w:rPr>
        <w:rFonts w:hint="default"/>
      </w:rPr>
    </w:lvl>
  </w:abstractNum>
  <w:abstractNum w:abstractNumId="6">
    <w:nsid w:val="BFE87F14"/>
    <w:multiLevelType w:val="singleLevel"/>
    <w:tmpl w:val="BFE87F14"/>
    <w:lvl w:ilvl="0" w:tentative="0">
      <w:start w:val="1"/>
      <w:numFmt w:val="decimal"/>
      <w:suff w:val="space"/>
      <w:lvlText w:val="(%1)"/>
      <w:lvlJc w:val="left"/>
      <w:pPr>
        <w:ind w:left="0" w:firstLine="0"/>
      </w:pPr>
      <w:rPr>
        <w:rFonts w:hint="default"/>
      </w:rPr>
    </w:lvl>
  </w:abstractNum>
  <w:abstractNum w:abstractNumId="7">
    <w:nsid w:val="C3149610"/>
    <w:multiLevelType w:val="singleLevel"/>
    <w:tmpl w:val="C3149610"/>
    <w:lvl w:ilvl="0" w:tentative="0">
      <w:start w:val="1"/>
      <w:numFmt w:val="decimal"/>
      <w:suff w:val="nothing"/>
      <w:lvlText w:val="%1."/>
      <w:lvlJc w:val="left"/>
      <w:pPr>
        <w:ind w:left="425" w:hanging="425"/>
      </w:pPr>
      <w:rPr>
        <w:rFonts w:hint="default"/>
      </w:rPr>
    </w:lvl>
  </w:abstractNum>
  <w:abstractNum w:abstractNumId="8">
    <w:nsid w:val="D011A630"/>
    <w:multiLevelType w:val="singleLevel"/>
    <w:tmpl w:val="D011A630"/>
    <w:lvl w:ilvl="0" w:tentative="0">
      <w:start w:val="1"/>
      <w:numFmt w:val="decimal"/>
      <w:suff w:val="nothing"/>
      <w:lvlText w:val="%1．"/>
      <w:lvlJc w:val="left"/>
      <w:pPr>
        <w:ind w:left="0" w:firstLine="0"/>
      </w:pPr>
      <w:rPr>
        <w:rFonts w:hint="default"/>
      </w:rPr>
    </w:lvl>
  </w:abstractNum>
  <w:abstractNum w:abstractNumId="9">
    <w:nsid w:val="D1AC6D53"/>
    <w:multiLevelType w:val="singleLevel"/>
    <w:tmpl w:val="D1AC6D53"/>
    <w:lvl w:ilvl="0" w:tentative="0">
      <w:start w:val="1"/>
      <w:numFmt w:val="decimal"/>
      <w:suff w:val="nothing"/>
      <w:lvlText w:val="%1．"/>
      <w:lvlJc w:val="left"/>
      <w:pPr>
        <w:ind w:left="0" w:firstLine="0"/>
      </w:pPr>
      <w:rPr>
        <w:rFonts w:hint="default"/>
      </w:rPr>
    </w:lvl>
  </w:abstractNum>
  <w:abstractNum w:abstractNumId="10">
    <w:nsid w:val="D85AF13C"/>
    <w:multiLevelType w:val="singleLevel"/>
    <w:tmpl w:val="D85AF13C"/>
    <w:lvl w:ilvl="0" w:tentative="0">
      <w:start w:val="1"/>
      <w:numFmt w:val="decimal"/>
      <w:lvlText w:val="(%1)"/>
      <w:lvlJc w:val="left"/>
      <w:pPr>
        <w:ind w:left="0" w:firstLine="0"/>
      </w:pPr>
      <w:rPr>
        <w:rFonts w:hint="default"/>
      </w:rPr>
    </w:lvl>
  </w:abstractNum>
  <w:abstractNum w:abstractNumId="11">
    <w:nsid w:val="E14BD1F4"/>
    <w:multiLevelType w:val="singleLevel"/>
    <w:tmpl w:val="E14BD1F4"/>
    <w:lvl w:ilvl="0" w:tentative="0">
      <w:start w:val="1"/>
      <w:numFmt w:val="decimal"/>
      <w:suff w:val="space"/>
      <w:lvlText w:val="(%1)"/>
      <w:lvlJc w:val="left"/>
      <w:pPr>
        <w:ind w:left="0" w:firstLine="0"/>
      </w:pPr>
      <w:rPr>
        <w:rFonts w:hint="default" w:ascii="宋体" w:hAnsi="宋体" w:eastAsia="宋体" w:cs="宋体"/>
        <w:sz w:val="21"/>
        <w:szCs w:val="21"/>
      </w:rPr>
    </w:lvl>
  </w:abstractNum>
  <w:abstractNum w:abstractNumId="12">
    <w:nsid w:val="E2FE1D36"/>
    <w:multiLevelType w:val="singleLevel"/>
    <w:tmpl w:val="E2FE1D36"/>
    <w:lvl w:ilvl="0" w:tentative="0">
      <w:start w:val="1"/>
      <w:numFmt w:val="decimal"/>
      <w:suff w:val="nothing"/>
      <w:lvlText w:val="%1．"/>
      <w:lvlJc w:val="left"/>
      <w:pPr>
        <w:ind w:left="0" w:firstLine="0"/>
      </w:pPr>
      <w:rPr>
        <w:rFonts w:hint="default"/>
      </w:rPr>
    </w:lvl>
  </w:abstractNum>
  <w:abstractNum w:abstractNumId="13">
    <w:nsid w:val="F0585A75"/>
    <w:multiLevelType w:val="singleLevel"/>
    <w:tmpl w:val="F0585A75"/>
    <w:lvl w:ilvl="0" w:tentative="0">
      <w:start w:val="1"/>
      <w:numFmt w:val="decimal"/>
      <w:suff w:val="nothing"/>
      <w:lvlText w:val="%1．"/>
      <w:lvlJc w:val="left"/>
      <w:pPr>
        <w:ind w:left="0" w:firstLine="0"/>
      </w:pPr>
      <w:rPr>
        <w:rFonts w:hint="default"/>
      </w:rPr>
    </w:lvl>
  </w:abstractNum>
  <w:abstractNum w:abstractNumId="14">
    <w:nsid w:val="F293A832"/>
    <w:multiLevelType w:val="singleLevel"/>
    <w:tmpl w:val="F293A832"/>
    <w:lvl w:ilvl="0" w:tentative="0">
      <w:start w:val="1"/>
      <w:numFmt w:val="decimal"/>
      <w:suff w:val="nothing"/>
      <w:lvlText w:val="%1．"/>
      <w:lvlJc w:val="left"/>
      <w:pPr>
        <w:ind w:left="0" w:firstLine="0"/>
      </w:pPr>
      <w:rPr>
        <w:rFonts w:hint="default"/>
      </w:rPr>
    </w:lvl>
  </w:abstractNum>
  <w:abstractNum w:abstractNumId="15">
    <w:nsid w:val="F5DB91F8"/>
    <w:multiLevelType w:val="singleLevel"/>
    <w:tmpl w:val="F5DB91F8"/>
    <w:lvl w:ilvl="0" w:tentative="0">
      <w:start w:val="1"/>
      <w:numFmt w:val="decimal"/>
      <w:suff w:val="nothing"/>
      <w:lvlText w:val="%1．"/>
      <w:lvlJc w:val="left"/>
      <w:pPr>
        <w:ind w:left="0" w:firstLine="0"/>
      </w:pPr>
      <w:rPr>
        <w:rFonts w:hint="default"/>
      </w:rPr>
    </w:lvl>
  </w:abstractNum>
  <w:abstractNum w:abstractNumId="16">
    <w:nsid w:val="0D85B9C9"/>
    <w:multiLevelType w:val="singleLevel"/>
    <w:tmpl w:val="0D85B9C9"/>
    <w:lvl w:ilvl="0" w:tentative="0">
      <w:start w:val="1"/>
      <w:numFmt w:val="decimal"/>
      <w:suff w:val="nothing"/>
      <w:lvlText w:val="%1．"/>
      <w:lvlJc w:val="left"/>
      <w:pPr>
        <w:ind w:left="0" w:firstLine="0"/>
      </w:pPr>
      <w:rPr>
        <w:rFonts w:hint="default"/>
      </w:rPr>
    </w:lvl>
  </w:abstractNum>
  <w:abstractNum w:abstractNumId="17">
    <w:nsid w:val="26A56EF1"/>
    <w:multiLevelType w:val="singleLevel"/>
    <w:tmpl w:val="26A56EF1"/>
    <w:lvl w:ilvl="0" w:tentative="0">
      <w:start w:val="1"/>
      <w:numFmt w:val="decimal"/>
      <w:suff w:val="nothing"/>
      <w:lvlText w:val="%1．"/>
      <w:lvlJc w:val="left"/>
      <w:pPr>
        <w:ind w:left="0" w:firstLine="0"/>
      </w:pPr>
      <w:rPr>
        <w:rFonts w:hint="default"/>
      </w:rPr>
    </w:lvl>
  </w:abstractNum>
  <w:abstractNum w:abstractNumId="18">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9">
    <w:nsid w:val="38164616"/>
    <w:multiLevelType w:val="singleLevel"/>
    <w:tmpl w:val="38164616"/>
    <w:lvl w:ilvl="0" w:tentative="0">
      <w:start w:val="1"/>
      <w:numFmt w:val="decimal"/>
      <w:suff w:val="space"/>
      <w:lvlText w:val="(%1)"/>
      <w:lvlJc w:val="left"/>
      <w:pPr>
        <w:ind w:left="0" w:firstLine="0"/>
      </w:pPr>
      <w:rPr>
        <w:rFonts w:hint="default" w:ascii="宋体" w:hAnsi="宋体" w:eastAsia="宋体" w:cs="宋体"/>
        <w:sz w:val="21"/>
        <w:szCs w:val="21"/>
      </w:rPr>
    </w:lvl>
  </w:abstractNum>
  <w:abstractNum w:abstractNumId="20">
    <w:nsid w:val="53DDBE85"/>
    <w:multiLevelType w:val="singleLevel"/>
    <w:tmpl w:val="53DDBE85"/>
    <w:lvl w:ilvl="0" w:tentative="0">
      <w:start w:val="1"/>
      <w:numFmt w:val="chineseCounting"/>
      <w:suff w:val="nothing"/>
      <w:lvlText w:val="（%1）"/>
      <w:lvlJc w:val="left"/>
      <w:pPr>
        <w:ind w:left="70" w:firstLine="420"/>
      </w:pPr>
      <w:rPr>
        <w:rFonts w:hint="eastAsia"/>
      </w:rPr>
    </w:lvl>
  </w:abstractNum>
  <w:abstractNum w:abstractNumId="21">
    <w:nsid w:val="546A3C16"/>
    <w:multiLevelType w:val="singleLevel"/>
    <w:tmpl w:val="546A3C16"/>
    <w:lvl w:ilvl="0" w:tentative="0">
      <w:start w:val="1"/>
      <w:numFmt w:val="decimal"/>
      <w:suff w:val="nothing"/>
      <w:lvlText w:val="%1．"/>
      <w:lvlJc w:val="left"/>
      <w:pPr>
        <w:ind w:left="0" w:firstLine="0"/>
      </w:pPr>
      <w:rPr>
        <w:rFonts w:hint="default"/>
      </w:rPr>
    </w:lvl>
  </w:abstractNum>
  <w:abstractNum w:abstractNumId="22">
    <w:nsid w:val="57AC9ECC"/>
    <w:multiLevelType w:val="singleLevel"/>
    <w:tmpl w:val="57AC9ECC"/>
    <w:lvl w:ilvl="0" w:tentative="0">
      <w:start w:val="1"/>
      <w:numFmt w:val="decimal"/>
      <w:suff w:val="space"/>
      <w:lvlText w:val="(%1)"/>
      <w:lvlJc w:val="left"/>
      <w:pPr>
        <w:ind w:left="0" w:firstLine="0"/>
      </w:pPr>
      <w:rPr>
        <w:rFonts w:hint="default" w:ascii="宋体" w:hAnsi="宋体" w:eastAsia="宋体" w:cs="宋体"/>
        <w:sz w:val="21"/>
        <w:szCs w:val="21"/>
      </w:rPr>
    </w:lvl>
  </w:abstractNum>
  <w:abstractNum w:abstractNumId="23">
    <w:nsid w:val="5D8EE122"/>
    <w:multiLevelType w:val="singleLevel"/>
    <w:tmpl w:val="5D8EE122"/>
    <w:lvl w:ilvl="0" w:tentative="0">
      <w:start w:val="1"/>
      <w:numFmt w:val="decimal"/>
      <w:suff w:val="nothing"/>
      <w:lvlText w:val="%1．"/>
      <w:lvlJc w:val="left"/>
      <w:pPr>
        <w:ind w:left="0" w:firstLine="0"/>
      </w:pPr>
      <w:rPr>
        <w:rFonts w:hint="default"/>
      </w:rPr>
    </w:lvl>
  </w:abstractNum>
  <w:abstractNum w:abstractNumId="24">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18"/>
  </w:num>
  <w:num w:numId="2">
    <w:abstractNumId w:val="24"/>
  </w:num>
  <w:num w:numId="3">
    <w:abstractNumId w:val="20"/>
  </w:num>
  <w:num w:numId="4">
    <w:abstractNumId w:val="0"/>
  </w:num>
  <w:num w:numId="5">
    <w:abstractNumId w:val="21"/>
  </w:num>
  <w:num w:numId="6">
    <w:abstractNumId w:val="4"/>
  </w:num>
  <w:num w:numId="7">
    <w:abstractNumId w:val="19"/>
  </w:num>
  <w:num w:numId="8">
    <w:abstractNumId w:val="23"/>
  </w:num>
  <w:num w:numId="9">
    <w:abstractNumId w:val="8"/>
  </w:num>
  <w:num w:numId="10">
    <w:abstractNumId w:val="5"/>
  </w:num>
  <w:num w:numId="11">
    <w:abstractNumId w:val="3"/>
  </w:num>
  <w:num w:numId="12">
    <w:abstractNumId w:val="11"/>
  </w:num>
  <w:num w:numId="13">
    <w:abstractNumId w:val="22"/>
  </w:num>
  <w:num w:numId="14">
    <w:abstractNumId w:val="15"/>
  </w:num>
  <w:num w:numId="15">
    <w:abstractNumId w:val="12"/>
  </w:num>
  <w:num w:numId="16">
    <w:abstractNumId w:val="13"/>
  </w:num>
  <w:num w:numId="17">
    <w:abstractNumId w:val="9"/>
  </w:num>
  <w:num w:numId="18">
    <w:abstractNumId w:val="10"/>
  </w:num>
  <w:num w:numId="19">
    <w:abstractNumId w:val="6"/>
  </w:num>
  <w:num w:numId="20">
    <w:abstractNumId w:val="17"/>
  </w:num>
  <w:num w:numId="21">
    <w:abstractNumId w:val="16"/>
  </w:num>
  <w:num w:numId="22">
    <w:abstractNumId w:val="14"/>
  </w:num>
  <w:num w:numId="23">
    <w:abstractNumId w:val="2"/>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B80D75"/>
    <w:rsid w:val="021F7883"/>
    <w:rsid w:val="04C855C3"/>
    <w:rsid w:val="055C08FA"/>
    <w:rsid w:val="10182B57"/>
    <w:rsid w:val="15B0390D"/>
    <w:rsid w:val="17283764"/>
    <w:rsid w:val="1759526A"/>
    <w:rsid w:val="1780534F"/>
    <w:rsid w:val="17AF7475"/>
    <w:rsid w:val="184864E1"/>
    <w:rsid w:val="1A007152"/>
    <w:rsid w:val="1A04368C"/>
    <w:rsid w:val="1A5A6C47"/>
    <w:rsid w:val="1DA13386"/>
    <w:rsid w:val="1F9D4C25"/>
    <w:rsid w:val="21F71578"/>
    <w:rsid w:val="23311F3B"/>
    <w:rsid w:val="250C0222"/>
    <w:rsid w:val="26993D92"/>
    <w:rsid w:val="299D1F81"/>
    <w:rsid w:val="2D7E2D6C"/>
    <w:rsid w:val="30F43909"/>
    <w:rsid w:val="31CA47FF"/>
    <w:rsid w:val="32DE38E7"/>
    <w:rsid w:val="34F75F7C"/>
    <w:rsid w:val="351637F3"/>
    <w:rsid w:val="366C6D72"/>
    <w:rsid w:val="36D40C90"/>
    <w:rsid w:val="37DA44F4"/>
    <w:rsid w:val="3B3A41F5"/>
    <w:rsid w:val="3C1D56F5"/>
    <w:rsid w:val="3CAB5E66"/>
    <w:rsid w:val="3CD15AD1"/>
    <w:rsid w:val="3D2165A3"/>
    <w:rsid w:val="3DD91FE4"/>
    <w:rsid w:val="3E422F24"/>
    <w:rsid w:val="3F224B68"/>
    <w:rsid w:val="3F6E0550"/>
    <w:rsid w:val="3F973C1A"/>
    <w:rsid w:val="411617D6"/>
    <w:rsid w:val="41635215"/>
    <w:rsid w:val="45860839"/>
    <w:rsid w:val="481411EA"/>
    <w:rsid w:val="48C67564"/>
    <w:rsid w:val="4A4779D3"/>
    <w:rsid w:val="4C212E2E"/>
    <w:rsid w:val="4FD1663C"/>
    <w:rsid w:val="51724579"/>
    <w:rsid w:val="53A01EF0"/>
    <w:rsid w:val="57DB3900"/>
    <w:rsid w:val="5AC4096B"/>
    <w:rsid w:val="5B435497"/>
    <w:rsid w:val="5BE72873"/>
    <w:rsid w:val="5D2B49C8"/>
    <w:rsid w:val="6423298B"/>
    <w:rsid w:val="646B3A9A"/>
    <w:rsid w:val="69A35CC1"/>
    <w:rsid w:val="6BA403EA"/>
    <w:rsid w:val="6CB00E72"/>
    <w:rsid w:val="6D116368"/>
    <w:rsid w:val="6D881C8F"/>
    <w:rsid w:val="6E575898"/>
    <w:rsid w:val="6E667809"/>
    <w:rsid w:val="702E0844"/>
    <w:rsid w:val="71A041D9"/>
    <w:rsid w:val="72B90AEB"/>
    <w:rsid w:val="78496075"/>
    <w:rsid w:val="7BCA233E"/>
    <w:rsid w:val="7CC3204F"/>
    <w:rsid w:val="7EFD4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2"/>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4"/>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1"/>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5"/>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6"/>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7"/>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8"/>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9"/>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annotation text"/>
    <w:basedOn w:val="1"/>
    <w:semiHidden/>
    <w:unhideWhenUsed/>
    <w:qFormat/>
    <w:uiPriority w:val="99"/>
    <w:pPr>
      <w:jc w:val="left"/>
    </w:p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表格文字"/>
    <w:basedOn w:val="1"/>
    <w:qFormat/>
    <w:uiPriority w:val="0"/>
    <w:pPr>
      <w:spacing w:before="25" w:after="25"/>
      <w:jc w:val="left"/>
    </w:pPr>
    <w:rPr>
      <w:bCs/>
      <w:spacing w:val="10"/>
      <w:kern w:val="0"/>
      <w:sz w:val="24"/>
    </w:rPr>
  </w:style>
  <w:style w:type="character" w:customStyle="1" w:styleId="21">
    <w:name w:val="标题 4 字符"/>
    <w:basedOn w:val="19"/>
    <w:link w:val="6"/>
    <w:semiHidden/>
    <w:qFormat/>
    <w:uiPriority w:val="9"/>
    <w:rPr>
      <w:rFonts w:cstheme="majorBidi"/>
      <w:color w:val="2F5597" w:themeColor="accent1" w:themeShade="BF"/>
      <w:sz w:val="28"/>
      <w:szCs w:val="28"/>
    </w:rPr>
  </w:style>
  <w:style w:type="character" w:customStyle="1" w:styleId="22">
    <w:name w:val="标题 2 字符"/>
    <w:basedOn w:val="19"/>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1 字符"/>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3 字符"/>
    <w:basedOn w:val="19"/>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5 字符"/>
    <w:basedOn w:val="19"/>
    <w:link w:val="7"/>
    <w:semiHidden/>
    <w:qFormat/>
    <w:uiPriority w:val="9"/>
    <w:rPr>
      <w:rFonts w:cstheme="majorBidi"/>
      <w:color w:val="2F5597" w:themeColor="accent1" w:themeShade="BF"/>
      <w:sz w:val="24"/>
      <w:szCs w:val="24"/>
    </w:rPr>
  </w:style>
  <w:style w:type="character" w:customStyle="1" w:styleId="26">
    <w:name w:val="标题 6 字符"/>
    <w:basedOn w:val="19"/>
    <w:link w:val="8"/>
    <w:semiHidden/>
    <w:qFormat/>
    <w:uiPriority w:val="9"/>
    <w:rPr>
      <w:rFonts w:cstheme="majorBidi"/>
      <w:b/>
      <w:bCs/>
      <w:color w:val="2F5597" w:themeColor="accent1" w:themeShade="BF"/>
    </w:rPr>
  </w:style>
  <w:style w:type="character" w:customStyle="1" w:styleId="27">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customStyle="1" w:styleId="34">
    <w:name w:val="List Paragraph"/>
    <w:basedOn w:val="1"/>
    <w:qFormat/>
    <w:uiPriority w:val="34"/>
    <w:pPr>
      <w:ind w:left="720"/>
      <w:contextualSpacing/>
    </w:pPr>
  </w:style>
  <w:style w:type="character" w:customStyle="1" w:styleId="35">
    <w:name w:val="Intense Emphasis"/>
    <w:basedOn w:val="19"/>
    <w:qFormat/>
    <w:uiPriority w:val="21"/>
    <w:rPr>
      <w:i/>
      <w:iCs/>
      <w:color w:val="2F5597" w:themeColor="accent1" w:themeShade="BF"/>
    </w:rPr>
  </w:style>
  <w:style w:type="paragraph" w:customStyle="1"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4"/>
    <w:qFormat/>
    <w:uiPriority w:val="99"/>
    <w:rPr>
      <w:sz w:val="18"/>
      <w:szCs w:val="18"/>
    </w:rPr>
  </w:style>
  <w:style w:type="character" w:customStyle="1" w:styleId="40">
    <w:name w:val="页脚 字符"/>
    <w:basedOn w:val="19"/>
    <w:link w:val="13"/>
    <w:qFormat/>
    <w:uiPriority w:val="99"/>
    <w:rPr>
      <w:sz w:val="18"/>
      <w:szCs w:val="18"/>
    </w:rPr>
  </w:style>
  <w:style w:type="paragraph" w:customStyle="1" w:styleId="41">
    <w:name w:val="正文1"/>
    <w:basedOn w:val="1"/>
    <w:next w:val="1"/>
    <w:qFormat/>
    <w:uiPriority w:val="0"/>
    <w:pPr>
      <w:spacing w:line="318" w:lineRule="atLeast"/>
      <w:ind w:left="369" w:firstLine="369"/>
    </w:pPr>
    <w:rPr>
      <w:rFonts w:ascii="宋体" w:cs="Calibri"/>
      <w:szCs w:val="21"/>
    </w:rPr>
  </w:style>
  <w:style w:type="paragraph" w:customStyle="1" w:styleId="42">
    <w:name w:val="U_正文2"/>
    <w:basedOn w:val="1"/>
    <w:qFormat/>
    <w:uiPriority w:val="0"/>
    <w:pPr>
      <w:spacing w:before="10" w:beforeLines="10" w:after="10" w:afterLines="10" w:line="300" w:lineRule="auto"/>
    </w:pPr>
    <w:rPr>
      <w:rFonts w:ascii="Calibri" w:hAnsi="Calibri" w:eastAsia="宋体" w:cs="Times New Roman"/>
      <w:sz w:val="24"/>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Table Text"/>
    <w:basedOn w:val="1"/>
    <w:semiHidden/>
    <w:qFormat/>
    <w:uiPriority w:val="0"/>
    <w:rPr>
      <w:rFonts w:ascii="宋体" w:hAnsi="宋体" w:eastAsia="宋体" w:cs="宋体"/>
      <w:sz w:val="20"/>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14403</Words>
  <Characters>14913</Characters>
  <Lines>309</Lines>
  <Paragraphs>248</Paragraphs>
  <TotalTime>0</TotalTime>
  <ScaleCrop>false</ScaleCrop>
  <LinksUpToDate>false</LinksUpToDate>
  <CharactersWithSpaces>14939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2026-02-04T10:46:00Z</dcterms:created>
  <dc:creator>师昂</dc:creator>
  <cp:lastModifiedBy>我爱熊猫</cp:lastModifiedBy>
  <dcterms:modified xsi:type="dcterms:W3CDTF">2026-04-14T10:31:13Z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7B24ABEA30CF4AA984CDFE79D0F46092_13</vt:lpwstr>
  </property>
  <property fmtid="{D5CDD505-2E9C-101B-9397-08002B2CF9AE}" pid="3" name="KSOProductBuildVer">
    <vt:lpwstr>2052-12.1.0.25225</vt:lpwstr>
  </property>
  <property fmtid="{D5CDD505-2E9C-101B-9397-08002B2CF9AE}" pid="4" name="KSOTemplateDocerSaveRecord">
    <vt:lpwstr>eyJoZGlkIjoiYzRlYzk2ZGE4ZTc3YmQ2YzUwOTE0NThjY2Q0NjA3YjEiLCJ1c2VySWQiOiIyMzc0MzQyMjEifQ==</vt:lpwstr>
  </property>
</Properties>
</file>