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B0AF">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bookmarkEnd w:id="0"/>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水产</w:t>
      </w:r>
      <w:r>
        <w:rPr>
          <w:rFonts w:hint="eastAsia" w:ascii="宋体" w:hAnsi="宋体" w:eastAsia="宋体" w:cs="宋体"/>
          <w:b/>
          <w:bCs/>
          <w:color w:val="auto"/>
          <w:sz w:val="40"/>
          <w:szCs w:val="40"/>
        </w:rPr>
        <w:t>类</w:t>
      </w:r>
      <w:r>
        <w:rPr>
          <w:rFonts w:hint="eastAsia" w:ascii="宋体" w:hAnsi="宋体" w:eastAsia="宋体" w:cs="宋体"/>
          <w:b/>
          <w:bCs/>
          <w:color w:val="auto"/>
          <w:sz w:val="40"/>
          <w:szCs w:val="40"/>
          <w:lang w:val="en-US" w:eastAsia="zh-CN"/>
        </w:rPr>
        <w:t>食材采购及配送服务项目采购需求</w:t>
      </w:r>
    </w:p>
    <w:p w14:paraId="0D3B1E40">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采购品目</w:t>
      </w:r>
    </w:p>
    <w:tbl>
      <w:tblPr>
        <w:tblStyle w:val="4"/>
        <w:tblW w:w="93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1935"/>
        <w:gridCol w:w="951"/>
        <w:gridCol w:w="2263"/>
        <w:gridCol w:w="3249"/>
      </w:tblGrid>
      <w:tr w14:paraId="2A3E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93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8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中山大学附属第一医院广西医院水产类食材采购及配送服务需求报价表</w:t>
            </w:r>
          </w:p>
        </w:tc>
      </w:tr>
      <w:tr w14:paraId="2036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0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017C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3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D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F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供货价（元）</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8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统一下浮系数报价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（最终单价报价=各产品</w:t>
            </w:r>
            <w:r>
              <w:rPr>
                <w:rFonts w:hint="default" w:ascii="宋体" w:hAnsi="宋体" w:eastAsia="宋体" w:cs="宋体"/>
                <w:i w:val="0"/>
                <w:iCs w:val="0"/>
                <w:color w:val="000000"/>
                <w:kern w:val="0"/>
                <w:sz w:val="24"/>
                <w:szCs w:val="24"/>
                <w:u w:val="none"/>
                <w:lang w:val="en-US" w:eastAsia="zh-CN" w:bidi="ar"/>
              </w:rPr>
              <w:t>供货</w:t>
            </w:r>
            <w:r>
              <w:rPr>
                <w:rFonts w:hint="eastAsia" w:ascii="宋体" w:hAnsi="宋体" w:eastAsia="宋体" w:cs="宋体"/>
                <w:i w:val="0"/>
                <w:iCs w:val="0"/>
                <w:color w:val="000000"/>
                <w:kern w:val="0"/>
                <w:sz w:val="24"/>
                <w:szCs w:val="24"/>
                <w:u w:val="none"/>
                <w:lang w:val="en-US" w:eastAsia="zh-CN" w:bidi="ar"/>
              </w:rPr>
              <w:t>价×（1-下浮系数））</w:t>
            </w:r>
          </w:p>
        </w:tc>
      </w:tr>
      <w:tr w14:paraId="4ED0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E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大斑节虾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0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9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9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下浮系数为     %</w:t>
            </w:r>
          </w:p>
        </w:tc>
      </w:tr>
      <w:tr w14:paraId="0C75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9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D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大明虾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5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A483">
            <w:pPr>
              <w:jc w:val="center"/>
              <w:rPr>
                <w:rFonts w:hint="eastAsia" w:ascii="宋体" w:hAnsi="宋体" w:eastAsia="宋体" w:cs="宋体"/>
                <w:i w:val="0"/>
                <w:iCs w:val="0"/>
                <w:color w:val="000000"/>
                <w:sz w:val="24"/>
                <w:szCs w:val="24"/>
                <w:u w:val="none"/>
              </w:rPr>
            </w:pPr>
          </w:p>
        </w:tc>
      </w:tr>
      <w:tr w14:paraId="0590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0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净黄鲶鱼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A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9F82">
            <w:pPr>
              <w:jc w:val="center"/>
              <w:rPr>
                <w:rFonts w:hint="eastAsia" w:ascii="宋体" w:hAnsi="宋体" w:eastAsia="宋体" w:cs="宋体"/>
                <w:i w:val="0"/>
                <w:iCs w:val="0"/>
                <w:color w:val="000000"/>
                <w:sz w:val="24"/>
                <w:szCs w:val="24"/>
                <w:u w:val="none"/>
              </w:rPr>
            </w:pPr>
          </w:p>
        </w:tc>
      </w:tr>
      <w:tr w14:paraId="6741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2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净草鱼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6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0A6">
            <w:pPr>
              <w:jc w:val="center"/>
              <w:rPr>
                <w:rFonts w:hint="eastAsia" w:ascii="宋体" w:hAnsi="宋体" w:eastAsia="宋体" w:cs="宋体"/>
                <w:i w:val="0"/>
                <w:iCs w:val="0"/>
                <w:color w:val="000000"/>
                <w:sz w:val="24"/>
                <w:szCs w:val="24"/>
                <w:u w:val="none"/>
              </w:rPr>
            </w:pPr>
          </w:p>
        </w:tc>
      </w:tr>
      <w:tr w14:paraId="7949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E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净花鱼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E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C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C35">
            <w:pPr>
              <w:jc w:val="center"/>
              <w:rPr>
                <w:rFonts w:hint="eastAsia" w:ascii="宋体" w:hAnsi="宋体" w:eastAsia="宋体" w:cs="宋体"/>
                <w:i w:val="0"/>
                <w:iCs w:val="0"/>
                <w:color w:val="000000"/>
                <w:sz w:val="24"/>
                <w:szCs w:val="24"/>
                <w:u w:val="none"/>
              </w:rPr>
            </w:pPr>
          </w:p>
        </w:tc>
      </w:tr>
      <w:tr w14:paraId="60D5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1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F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6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B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C443">
            <w:pPr>
              <w:jc w:val="center"/>
              <w:rPr>
                <w:rFonts w:hint="eastAsia" w:ascii="宋体" w:hAnsi="宋体" w:eastAsia="宋体" w:cs="宋体"/>
                <w:i w:val="0"/>
                <w:iCs w:val="0"/>
                <w:color w:val="000000"/>
                <w:sz w:val="24"/>
                <w:szCs w:val="24"/>
                <w:u w:val="none"/>
              </w:rPr>
            </w:pPr>
          </w:p>
        </w:tc>
      </w:tr>
      <w:tr w14:paraId="5E42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E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1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花甲螺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4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8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9C4E">
            <w:pPr>
              <w:jc w:val="center"/>
              <w:rPr>
                <w:rFonts w:hint="eastAsia" w:ascii="宋体" w:hAnsi="宋体" w:eastAsia="宋体" w:cs="宋体"/>
                <w:i w:val="0"/>
                <w:iCs w:val="0"/>
                <w:color w:val="000000"/>
                <w:sz w:val="24"/>
                <w:szCs w:val="24"/>
                <w:u w:val="none"/>
              </w:rPr>
            </w:pPr>
          </w:p>
        </w:tc>
      </w:tr>
      <w:tr w14:paraId="3EB2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9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花甲王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5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9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5FEA">
            <w:pPr>
              <w:jc w:val="center"/>
              <w:rPr>
                <w:rFonts w:hint="eastAsia" w:ascii="宋体" w:hAnsi="宋体" w:eastAsia="宋体" w:cs="宋体"/>
                <w:i w:val="0"/>
                <w:iCs w:val="0"/>
                <w:color w:val="000000"/>
                <w:sz w:val="24"/>
                <w:szCs w:val="24"/>
                <w:u w:val="none"/>
              </w:rPr>
            </w:pPr>
          </w:p>
        </w:tc>
      </w:tr>
      <w:tr w14:paraId="18DA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2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净金鲳鱼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1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757D">
            <w:pPr>
              <w:jc w:val="center"/>
              <w:rPr>
                <w:rFonts w:hint="eastAsia" w:ascii="宋体" w:hAnsi="宋体" w:eastAsia="宋体" w:cs="宋体"/>
                <w:i w:val="0"/>
                <w:iCs w:val="0"/>
                <w:color w:val="000000"/>
                <w:sz w:val="24"/>
                <w:szCs w:val="24"/>
                <w:u w:val="none"/>
              </w:rPr>
            </w:pPr>
          </w:p>
        </w:tc>
      </w:tr>
      <w:tr w14:paraId="3562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9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净鲈鱼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C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569">
            <w:pPr>
              <w:jc w:val="center"/>
              <w:rPr>
                <w:rFonts w:hint="eastAsia" w:ascii="宋体" w:hAnsi="宋体" w:eastAsia="宋体" w:cs="宋体"/>
                <w:i w:val="0"/>
                <w:iCs w:val="0"/>
                <w:color w:val="000000"/>
                <w:sz w:val="24"/>
                <w:szCs w:val="24"/>
                <w:u w:val="none"/>
              </w:rPr>
            </w:pPr>
          </w:p>
        </w:tc>
      </w:tr>
      <w:tr w14:paraId="19DE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0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5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E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9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6416">
            <w:pPr>
              <w:jc w:val="center"/>
              <w:rPr>
                <w:rFonts w:hint="eastAsia" w:ascii="宋体" w:hAnsi="宋体" w:eastAsia="宋体" w:cs="宋体"/>
                <w:i w:val="0"/>
                <w:iCs w:val="0"/>
                <w:color w:val="000000"/>
                <w:sz w:val="24"/>
                <w:szCs w:val="24"/>
                <w:u w:val="none"/>
              </w:rPr>
            </w:pPr>
          </w:p>
        </w:tc>
      </w:tr>
      <w:tr w14:paraId="26B2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北海大鱿鱼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D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B03">
            <w:pPr>
              <w:jc w:val="center"/>
              <w:rPr>
                <w:rFonts w:hint="eastAsia" w:ascii="宋体" w:hAnsi="宋体" w:eastAsia="宋体" w:cs="宋体"/>
                <w:i w:val="0"/>
                <w:iCs w:val="0"/>
                <w:color w:val="000000"/>
                <w:sz w:val="24"/>
                <w:szCs w:val="24"/>
                <w:u w:val="none"/>
              </w:rPr>
            </w:pPr>
          </w:p>
        </w:tc>
      </w:tr>
      <w:tr w14:paraId="70CF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4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中生蚝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A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D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E64">
            <w:pPr>
              <w:jc w:val="center"/>
              <w:rPr>
                <w:rFonts w:hint="eastAsia" w:ascii="宋体" w:hAnsi="宋体" w:eastAsia="宋体" w:cs="宋体"/>
                <w:i w:val="0"/>
                <w:iCs w:val="0"/>
                <w:color w:val="000000"/>
                <w:sz w:val="24"/>
                <w:szCs w:val="24"/>
                <w:u w:val="none"/>
              </w:rPr>
            </w:pPr>
          </w:p>
        </w:tc>
      </w:tr>
      <w:tr w14:paraId="0C12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7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2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带子螺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9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5C48">
            <w:pPr>
              <w:jc w:val="center"/>
              <w:rPr>
                <w:rFonts w:hint="eastAsia" w:ascii="宋体" w:hAnsi="宋体" w:eastAsia="宋体" w:cs="宋体"/>
                <w:i w:val="0"/>
                <w:iCs w:val="0"/>
                <w:color w:val="000000"/>
                <w:sz w:val="24"/>
                <w:szCs w:val="24"/>
                <w:u w:val="none"/>
              </w:rPr>
            </w:pPr>
          </w:p>
        </w:tc>
      </w:tr>
      <w:tr w14:paraId="4693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8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大生蚝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6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C58">
            <w:pPr>
              <w:jc w:val="center"/>
              <w:rPr>
                <w:rFonts w:hint="eastAsia" w:ascii="宋体" w:hAnsi="宋体" w:eastAsia="宋体" w:cs="宋体"/>
                <w:i w:val="0"/>
                <w:iCs w:val="0"/>
                <w:color w:val="000000"/>
                <w:sz w:val="24"/>
                <w:szCs w:val="24"/>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3AE23719">
      <w:pPr>
        <w:pStyle w:val="3"/>
        <w:rPr>
          <w:rFonts w:hint="eastAsia" w:ascii="宋体" w:hAnsi="宋体" w:eastAsia="宋体" w:cs="宋体"/>
          <w:color w:val="FF0000"/>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35198C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1.总体要求：食材无毒、无害、无污染，符合国家、行业及地方的食品卫生及安全标准，农产品符合国家、行业及地方的无公害农产品标准，安全、卫生和动植物检验、检疫项目按照国家有关规定执行。</w:t>
      </w:r>
    </w:p>
    <w:p w14:paraId="0D74DE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2.具体质量要求如下：</w:t>
      </w:r>
    </w:p>
    <w:p w14:paraId="336CD0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2.1活鱼类：在水中游动自如，反应敏捷；体色清亮，手摸有黏滑感；鳞片完整无损，无皮下出血现象及血色鱼鳞；鱼眼清亮，角膜透明，皮肤天然色泽；无伤残、无畸形、无病害。</w:t>
      </w:r>
    </w:p>
    <w:p w14:paraId="6E2C14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的需要，按照时间和规格要求进行宰杀、分割、砍件、分条等。</w:t>
      </w:r>
    </w:p>
    <w:p w14:paraId="12C95B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14:paraId="0EC979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14:paraId="34ACB8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2.5蟹类：体肥、甲壳色泽正常，腹部洁白，雌蟹有膏时，头胸甲棘尖，反面透黄色，螯及蟹脚有力，单体重 0.25—0.35kg。</w:t>
      </w:r>
    </w:p>
    <w:p w14:paraId="4DB44C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2.6贝类：外壳具固有色泽、平时微张口、受惊闭合，斧足与触管伸缩灵活，具固有气味。</w:t>
      </w:r>
    </w:p>
    <w:p w14:paraId="54DD0E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14:paraId="463452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若出现质量问题或保质期不足的情况，院方有权拒绝接受所提供的物品或食品。若因食品质量引起食物中毒（经市场监督管理、卫生防疫部门鉴定），成交方应承担全部法律责任，院方有权取消成交方的供货资格，终止合同。</w:t>
      </w:r>
    </w:p>
    <w:p w14:paraId="65504AA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512D97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宋体" w:hAnsi="宋体" w:eastAsia="宋体" w:cs="宋体"/>
          <w:kern w:val="2"/>
          <w:sz w:val="24"/>
          <w:szCs w:val="24"/>
          <w:lang w:val="en-US" w:eastAsia="zh-CN" w:bidi="ar-SA"/>
        </w:rPr>
        <w:t>收到院方订单30分钟内确认订单可行性，包括库存、数量及送达时间并在规定时间内送达；临时订单需在1小时内响应并送达。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287179B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五、违约责任</w:t>
      </w:r>
    </w:p>
    <w:p w14:paraId="249489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0926E4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2.成交供应商不能满足供货要求时，应提前1个月通知院方，院方同意后方可终止合同。</w:t>
      </w:r>
    </w:p>
    <w:p w14:paraId="48D26D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3.成交供应商未能按院方要求时间交货，每延迟半小时按照当笔订单总金额的千分之三向院方支付违约金。迟延超过1小时的，院方有权选择拒收；院方不拒收的，按折价10%收货，以赔偿给院方造成的影响。</w:t>
      </w:r>
    </w:p>
    <w:p w14:paraId="45F25B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4.成交供应商提供食材与院方要求种类、品质不符品种，成交供应商应在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default" w:asciiTheme="minorEastAsia" w:hAnsiTheme="minorEastAsia" w:cstheme="minorEastAsia"/>
          <w:color w:val="000000" w:themeColor="text1"/>
          <w:sz w:val="24"/>
          <w:szCs w:val="24"/>
          <w:lang w:val="en-US" w:eastAsia="zh-CN"/>
          <w14:textFill>
            <w14:solidFill>
              <w14:schemeClr w14:val="tx1"/>
            </w14:solidFill>
          </w14:textFill>
        </w:rPr>
        <w:t>小时内将不符品种予以替换，逾期未替换或替换后仍无法通过院方验货的，或者逾期交货超过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default" w:asciiTheme="minorEastAsia" w:hAnsiTheme="minorEastAsia" w:cstheme="minorEastAsia"/>
          <w:color w:val="000000" w:themeColor="text1"/>
          <w:sz w:val="24"/>
          <w:szCs w:val="24"/>
          <w:lang w:val="en-US" w:eastAsia="zh-CN"/>
          <w14:textFill>
            <w14:solidFill>
              <w14:schemeClr w14:val="tx1"/>
            </w14:solidFill>
          </w14:textFill>
        </w:rPr>
        <w:t>小时的，院方有权拒收并要求成交供应商在院方规定时间内支付相当于该批不符品种订货价款3倍的违约金，院方不拒收的，按折价10%收货，以赔偿给院方造成的影响。</w:t>
      </w:r>
    </w:p>
    <w:p w14:paraId="75B0FE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0540AC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5.供应商一旦成交，承诺的下浮价在合同服务期内不得变更，否则院方有权单方终止合同，由此产生的一切经济损失由成交供应商自行承担。</w:t>
      </w:r>
    </w:p>
    <w:p w14:paraId="123BD6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3936A7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1D30B1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8.成交供应商不得以任何形式将成交项目转包、分包，否则院方有权单方终止合同，由此产生的一切经济损失由成交供应商自行承担。</w:t>
      </w:r>
    </w:p>
    <w:p w14:paraId="25B942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9.服务期限内，如有以下情形之一的，终止其配送资格。</w:t>
      </w:r>
    </w:p>
    <w:p w14:paraId="07F61E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(1)严重违法违规，被食品安全监管部门或其他部门处罚的；</w:t>
      </w:r>
    </w:p>
    <w:p w14:paraId="2EA48D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(2)虚开发票，套取资金，被监察、审计、财政、物价等有关部门查实的；</w:t>
      </w:r>
    </w:p>
    <w:p w14:paraId="6007A7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(3)因食品原材料问题而发生食品安全事故，造成不良后果的；</w:t>
      </w:r>
    </w:p>
    <w:p w14:paraId="34774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(4)被食品药品监督局、农业局抽检食品原材料发现存在严重质量问题的；</w:t>
      </w:r>
    </w:p>
    <w:p w14:paraId="7B6046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(5)被媒体曝光，造成不良影响的；</w:t>
      </w:r>
    </w:p>
    <w:p w14:paraId="5A6993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(6)存在严重短斤缺两行为的。</w:t>
      </w:r>
    </w:p>
    <w:p w14:paraId="375955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10.院方有权从任一笔应付采购款中直接扣除成交供应商应支付的违约金或应承担的其他赔偿费用。</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139DE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1.定价方式</w:t>
      </w:r>
    </w:p>
    <w:p w14:paraId="562535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1.1按统一下浮系数报价；</w:t>
      </w:r>
    </w:p>
    <w:p w14:paraId="348C5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31E0C1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（如：A食材供货价为100元，下浮系数为20%，最终A食材实际采购价格=100×（1-20%）=80元）；</w:t>
      </w:r>
    </w:p>
    <w:p w14:paraId="1A7EF7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58D1F4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1.4报价必须含以下部分：</w:t>
      </w:r>
    </w:p>
    <w:p w14:paraId="0A3061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1.4.1货物、服务费用；</w:t>
      </w:r>
    </w:p>
    <w:p w14:paraId="1BA54F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1.4.2报价需包含必要的保险费用和各项税金费用；</w:t>
      </w:r>
    </w:p>
    <w:p w14:paraId="7D28E7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79ADD9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w:t>
      </w:r>
      <w:r>
        <w:rPr>
          <w:rFonts w:hint="eastAsia" w:asciiTheme="minorEastAsia" w:hAnsiTheme="minorEastAsia" w:cstheme="minorEastAsia"/>
          <w:color w:val="000000" w:themeColor="text1"/>
          <w:sz w:val="24"/>
          <w14:textFill>
            <w14:solidFill>
              <w14:schemeClr w14:val="tx1"/>
            </w14:solidFill>
          </w14:textFill>
        </w:rPr>
        <w:t>成交方须按当次结算的实收金额开具合法有效的税务发票，并严格遵守国家税收法律法规依法纳税。针对本次采购中属于国家现行税收优惠政策范围内的项目，按国家有关要求执行，开具有效发票或相关凭证。</w:t>
      </w:r>
      <w:r>
        <w:rPr>
          <w:rFonts w:hint="eastAsia" w:asciiTheme="minorEastAsia" w:hAnsiTheme="minorEastAsia" w:cstheme="minorEastAsia"/>
          <w:color w:val="000000" w:themeColor="text1"/>
          <w:sz w:val="24"/>
          <w:szCs w:val="24"/>
          <w:lang w:val="en-US" w:eastAsia="zh-CN"/>
          <w14:textFill>
            <w14:solidFill>
              <w14:schemeClr w14:val="tx1"/>
            </w14:solidFill>
          </w14:textFill>
        </w:rPr>
        <w:t>发票清单与入库单据相符，作为院方付款依据，否则院方有权拒绝付款而不构成违约。院方收到发票后3个月内一次性付清货款。成交方未开具合法有效的对应金额的发票的，院方有权不支付相应款项</w:t>
      </w:r>
    </w:p>
    <w:p w14:paraId="7A6E3C4C">
      <w:pPr>
        <w:widowControl/>
        <w:numPr>
          <w:ilvl w:val="0"/>
          <w:numId w:val="0"/>
        </w:numPr>
        <w:wordWrap/>
        <w:spacing w:line="440" w:lineRule="exact"/>
        <w:ind w:firstLine="0" w:firstLineChars="0"/>
        <w:jc w:val="left"/>
        <w:rPr>
          <w:rFonts w:hint="eastAsia" w:asciiTheme="minorEastAsia" w:hAnsiTheme="minorEastAsia" w:eastAsiaTheme="minorEastAsia" w:cstheme="minorEastAsia"/>
          <w:b w:val="0"/>
          <w:bCs w:val="0"/>
          <w:color w:val="000000" w:themeColor="text1"/>
          <w:kern w:val="2"/>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14:textFill>
            <w14:solidFill>
              <w14:schemeClr w14:val="tx1"/>
            </w14:solidFill>
          </w14:textFill>
        </w:rPr>
        <w:t>七、中山大学附属第一医院广西医院生鲜</w:t>
      </w:r>
      <w:r>
        <w:rPr>
          <w:rFonts w:hint="eastAsia" w:asciiTheme="minorEastAsia" w:hAnsiTheme="minorEastAsia" w:eastAsiaTheme="minorEastAsia" w:cstheme="minorEastAsia"/>
          <w:b w:val="0"/>
          <w:bCs w:val="0"/>
          <w:color w:val="000000" w:themeColor="text1"/>
          <w:kern w:val="2"/>
          <w:sz w:val="24"/>
          <w:szCs w:val="24"/>
          <w14:textFill>
            <w14:solidFill>
              <w14:schemeClr w14:val="tx1"/>
            </w14:solidFill>
          </w14:textFill>
        </w:rPr>
        <w:t>类食材</w:t>
      </w:r>
      <w:r>
        <w:rPr>
          <w:rFonts w:hint="eastAsia" w:asciiTheme="minorEastAsia" w:hAnsiTheme="minorEastAsia" w:eastAsiaTheme="minorEastAsia" w:cstheme="minorEastAsia"/>
          <w:b w:val="0"/>
          <w:bCs w:val="0"/>
          <w:color w:val="000000" w:themeColor="text1"/>
          <w:kern w:val="2"/>
          <w:sz w:val="24"/>
          <w:szCs w:val="24"/>
          <w:lang w:val="en-US" w:eastAsia="zh-CN"/>
          <w14:textFill>
            <w14:solidFill>
              <w14:schemeClr w14:val="tx1"/>
            </w14:solidFill>
          </w14:textFill>
        </w:rPr>
        <w:t>采购及配送服务</w:t>
      </w:r>
      <w:r>
        <w:rPr>
          <w:rFonts w:hint="eastAsia" w:asciiTheme="minorEastAsia" w:hAnsiTheme="minorEastAsia" w:eastAsiaTheme="minorEastAsia" w:cstheme="minorEastAsia"/>
          <w:b w:val="0"/>
          <w:bCs w:val="0"/>
          <w:color w:val="000000" w:themeColor="text1"/>
          <w:kern w:val="2"/>
          <w:sz w:val="24"/>
          <w:szCs w:val="24"/>
          <w14:textFill>
            <w14:solidFill>
              <w14:schemeClr w14:val="tx1"/>
            </w14:solidFill>
          </w14:textFill>
        </w:rPr>
        <w:t>评分标准</w:t>
      </w:r>
      <w:r>
        <w:rPr>
          <w:rFonts w:hint="eastAsia" w:asciiTheme="minorEastAsia" w:hAnsiTheme="minorEastAsia" w:cstheme="minorEastAsia"/>
          <w:b w:val="0"/>
          <w:bCs w:val="0"/>
          <w:color w:val="000000" w:themeColor="text1"/>
          <w:kern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14:textFill>
            <w14:solidFill>
              <w14:schemeClr w14:val="tx1"/>
            </w14:solidFill>
          </w14:textFill>
        </w:rPr>
        <w:t>适用于：禽肉类、牛肉类、蛋类、水果类、水产类</w:t>
      </w:r>
      <w:r>
        <w:rPr>
          <w:rFonts w:hint="eastAsia" w:asciiTheme="minorEastAsia" w:hAnsiTheme="minorEastAsia" w:cstheme="minorEastAsia"/>
          <w:b w:val="0"/>
          <w:bCs w:val="0"/>
          <w:color w:val="000000" w:themeColor="text1"/>
          <w:kern w:val="2"/>
          <w:sz w:val="24"/>
          <w:szCs w:val="24"/>
          <w:lang w:eastAsia="zh-CN"/>
          <w14:textFill>
            <w14:solidFill>
              <w14:schemeClr w14:val="tx1"/>
            </w14:solidFill>
          </w14:textFill>
        </w:rPr>
        <w:t>）</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4"/>
        <w:gridCol w:w="7416"/>
        <w:gridCol w:w="850"/>
      </w:tblGrid>
      <w:tr w14:paraId="027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34" w:type="dxa"/>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7416" w:type="dxa"/>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7416" w:type="dxa"/>
            <w:tcMar>
              <w:top w:w="0" w:type="dxa"/>
              <w:left w:w="108" w:type="dxa"/>
              <w:bottom w:w="0" w:type="dxa"/>
              <w:right w:w="108" w:type="dxa"/>
            </w:tcMar>
          </w:tcPr>
          <w:p w14:paraId="64F0EC92">
            <w:pPr>
              <w:widowControl/>
              <w:numPr>
                <w:ilvl w:val="0"/>
                <w:numId w:val="4"/>
              </w:numPr>
              <w:wordWrap w:val="0"/>
              <w:ind w:left="-60" w:firstLine="48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定价规则</w:t>
            </w:r>
          </w:p>
          <w:p w14:paraId="423C443C">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报价方式：按下浮系数报价，实际结算价=市场价格×（1-下浮系数），合同期内下浮系数不变。</w:t>
            </w:r>
          </w:p>
          <w:p w14:paraId="1A52FDFF">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市场价格确定：基准价以南宁市淡村农贸市场价格为准，每月由双方</w:t>
            </w:r>
            <w:r>
              <w:rPr>
                <w:rFonts w:hint="eastAsia" w:ascii="仿宋" w:hAnsi="仿宋" w:eastAsia="仿宋" w:cs="仿宋"/>
                <w:color w:val="000000" w:themeColor="text1"/>
                <w:kern w:val="0"/>
                <w:sz w:val="24"/>
                <w:szCs w:val="24"/>
                <w:lang w:val="en-US" w:eastAsia="zh-CN"/>
                <w14:textFill>
                  <w14:solidFill>
                    <w14:schemeClr w14:val="tx1"/>
                  </w14:solidFill>
                </w14:textFill>
              </w:rPr>
              <w:t>组成</w:t>
            </w:r>
            <w:r>
              <w:rPr>
                <w:rFonts w:hint="eastAsia" w:ascii="仿宋" w:hAnsi="仿宋" w:eastAsia="仿宋" w:cs="仿宋"/>
                <w:color w:val="000000" w:themeColor="text1"/>
                <w:kern w:val="0"/>
                <w:sz w:val="24"/>
                <w:szCs w:val="24"/>
                <w14:textFill>
                  <w14:solidFill>
                    <w14:schemeClr w14:val="tx1"/>
                  </w14:solidFill>
                </w14:textFill>
              </w:rPr>
              <w:t>3人以上询价小组考察1次。询价范围：3-5家商户，取平均价作为次月基准价；若淡村市场无货，可参照北湖、金桥等市场（由</w:t>
            </w:r>
            <w:r>
              <w:rPr>
                <w:rFonts w:hint="eastAsia" w:ascii="仿宋" w:hAnsi="仿宋" w:eastAsia="仿宋" w:cs="仿宋"/>
                <w:color w:val="000000" w:themeColor="text1"/>
                <w:kern w:val="0"/>
                <w:sz w:val="24"/>
                <w:szCs w:val="24"/>
                <w:lang w:val="en-US" w:eastAsia="zh-CN"/>
                <w14:textFill>
                  <w14:solidFill>
                    <w14:schemeClr w14:val="tx1"/>
                  </w14:solidFill>
                </w14:textFill>
              </w:rPr>
              <w:t>院方</w:t>
            </w:r>
            <w:r>
              <w:rPr>
                <w:rFonts w:hint="eastAsia" w:ascii="仿宋" w:hAnsi="仿宋" w:eastAsia="仿宋" w:cs="仿宋"/>
                <w:color w:val="000000" w:themeColor="text1"/>
                <w:kern w:val="0"/>
                <w:sz w:val="24"/>
                <w:szCs w:val="24"/>
                <w14:textFill>
                  <w14:solidFill>
                    <w14:schemeClr w14:val="tx1"/>
                  </w14:solidFill>
                </w14:textFill>
              </w:rPr>
              <w:t>指定）。价格波动</w:t>
            </w:r>
            <w:r>
              <w:rPr>
                <w:rFonts w:hint="eastAsia" w:ascii="仿宋" w:hAnsi="仿宋" w:eastAsia="仿宋" w:cs="仿宋"/>
                <w:color w:val="000000" w:themeColor="text1"/>
                <w:kern w:val="0"/>
                <w:sz w:val="24"/>
                <w:szCs w:val="24"/>
                <w:lang w:eastAsia="zh-CN"/>
                <w14:textFill>
                  <w14:solidFill>
                    <w14:schemeClr w14:val="tx1"/>
                  </w14:solidFill>
                </w14:textFill>
              </w:rPr>
              <w:t>超过</w:t>
            </w:r>
            <w:r>
              <w:rPr>
                <w:rFonts w:hint="eastAsia" w:ascii="仿宋" w:hAnsi="仿宋" w:eastAsia="仿宋" w:cs="仿宋"/>
                <w:color w:val="000000" w:themeColor="text1"/>
                <w:kern w:val="0"/>
                <w:sz w:val="24"/>
                <w:szCs w:val="24"/>
                <w14:textFill>
                  <w14:solidFill>
                    <w14:schemeClr w14:val="tx1"/>
                  </w14:solidFill>
                </w14:textFill>
              </w:rPr>
              <w:t>10%时，供应商需书面报备，双方协商调整</w:t>
            </w:r>
            <w:r>
              <w:rPr>
                <w:rFonts w:hint="eastAsia" w:ascii="仿宋" w:hAnsi="仿宋" w:eastAsia="仿宋" w:cs="仿宋"/>
                <w:color w:val="000000" w:themeColor="text1"/>
                <w:kern w:val="0"/>
                <w:sz w:val="24"/>
                <w:szCs w:val="24"/>
                <w:lang w:val="en-US" w:eastAsia="zh-CN"/>
                <w14:textFill>
                  <w14:solidFill>
                    <w14:schemeClr w14:val="tx1"/>
                  </w14:solidFill>
                </w14:textFill>
              </w:rPr>
              <w:t>下浮系数</w:t>
            </w:r>
            <w:r>
              <w:rPr>
                <w:rFonts w:hint="eastAsia" w:ascii="仿宋" w:hAnsi="仿宋" w:eastAsia="仿宋" w:cs="仿宋"/>
                <w:color w:val="000000" w:themeColor="text1"/>
                <w:kern w:val="0"/>
                <w:sz w:val="24"/>
                <w:szCs w:val="24"/>
                <w14:textFill>
                  <w14:solidFill>
                    <w14:schemeClr w14:val="tx1"/>
                  </w14:solidFill>
                </w14:textFill>
              </w:rPr>
              <w:t>或基准价。</w:t>
            </w:r>
          </w:p>
          <w:p w14:paraId="7AD0F0AE">
            <w:pPr>
              <w:numPr>
                <w:ilvl w:val="0"/>
                <w:numId w:val="4"/>
              </w:numPr>
              <w:ind w:left="-60" w:leftChars="0" w:firstLine="480" w:firstLineChars="0"/>
              <w:rPr>
                <w:rFonts w:hint="eastAsia" w:ascii="仿宋" w:hAnsi="仿宋" w:eastAsia="仿宋" w:cs="仿宋"/>
                <w:sz w:val="24"/>
                <w:szCs w:val="24"/>
              </w:rPr>
            </w:pPr>
            <w:r>
              <w:rPr>
                <w:rFonts w:hint="eastAsia" w:ascii="仿宋" w:hAnsi="仿宋" w:eastAsia="仿宋" w:cs="仿宋"/>
                <w:sz w:val="24"/>
                <w:szCs w:val="24"/>
              </w:rPr>
              <w:t xml:space="preserve">评分规则 </w:t>
            </w:r>
          </w:p>
          <w:p w14:paraId="5A5D8300">
            <w:pPr>
              <w:numPr>
                <w:ilvl w:val="0"/>
                <w:numId w:val="5"/>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B3A5D3B">
            <w:pPr>
              <w:numPr>
                <w:ilvl w:val="0"/>
                <w:numId w:val="5"/>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 xml:space="preserve">）×35分 </w:t>
            </w:r>
            <w:r>
              <w:rPr>
                <w:rFonts w:hint="eastAsia" w:ascii="仿宋" w:hAnsi="仿宋" w:eastAsia="仿宋" w:cs="仿宋"/>
                <w:sz w:val="24"/>
                <w:szCs w:val="24"/>
                <w:lang w:eastAsia="zh-CN"/>
              </w:rPr>
              <w:t>。</w:t>
            </w:r>
          </w:p>
          <w:p w14:paraId="0723B84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5F53F62">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4" w:type="dxa"/>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7416" w:type="dxa"/>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7416" w:type="dxa"/>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1334" w:type="dxa"/>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7416" w:type="dxa"/>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7416" w:type="dxa"/>
            <w:tcMar>
              <w:top w:w="0" w:type="dxa"/>
              <w:left w:w="108" w:type="dxa"/>
              <w:bottom w:w="0" w:type="dxa"/>
              <w:right w:w="108" w:type="dxa"/>
            </w:tcMar>
            <w:vAlign w:val="center"/>
          </w:tcPr>
          <w:p w14:paraId="2DD869B9">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2023 年以来承担过同类食材配送业绩，每一个业绩得1分，满分5分。(响应文件中提供中标(成交)通知书或合同复印件，及合同发票复印件并加盖供应商公章，否则不得分。)</w:t>
            </w:r>
          </w:p>
          <w:p w14:paraId="6E8AE038">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6"/>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7416" w:type="dxa"/>
            <w:tcMar>
              <w:top w:w="0" w:type="dxa"/>
              <w:left w:w="108" w:type="dxa"/>
              <w:bottom w:w="0" w:type="dxa"/>
              <w:right w:w="108" w:type="dxa"/>
            </w:tcMar>
            <w:vAlign w:val="center"/>
          </w:tcPr>
          <w:p w14:paraId="68E50A4A">
            <w:pPr>
              <w:widowControl/>
              <w:numPr>
                <w:ilvl w:val="0"/>
                <w:numId w:val="7"/>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0" w:type="dxa"/>
            <w:gridSpan w:val="2"/>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66C674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p w14:paraId="2176B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D86D95F2"/>
    <w:multiLevelType w:val="singleLevel"/>
    <w:tmpl w:val="D86D95F2"/>
    <w:lvl w:ilvl="0" w:tentative="0">
      <w:start w:val="1"/>
      <w:numFmt w:val="decimal"/>
      <w:suff w:val="space"/>
      <w:lvlText w:val="%1."/>
      <w:lvlJc w:val="left"/>
      <w:pPr>
        <w:ind w:left="-60"/>
      </w:pPr>
    </w:lvl>
  </w:abstractNum>
  <w:abstractNum w:abstractNumId="2">
    <w:nsid w:val="FE6832B0"/>
    <w:multiLevelType w:val="singleLevel"/>
    <w:tmpl w:val="FE6832B0"/>
    <w:lvl w:ilvl="0" w:tentative="0">
      <w:start w:val="1"/>
      <w:numFmt w:val="decimal"/>
      <w:suff w:val="space"/>
      <w:lvlText w:val="%1."/>
      <w:lvlJc w:val="left"/>
      <w:pPr>
        <w:ind w:left="-60"/>
      </w:pPr>
    </w:lvl>
  </w:abstractNum>
  <w:abstractNum w:abstractNumId="3">
    <w:nsid w:val="002B6A1C"/>
    <w:multiLevelType w:val="singleLevel"/>
    <w:tmpl w:val="002B6A1C"/>
    <w:lvl w:ilvl="0" w:tentative="0">
      <w:start w:val="1"/>
      <w:numFmt w:val="chineseCounting"/>
      <w:suff w:val="nothing"/>
      <w:lvlText w:val="%1、"/>
      <w:lvlJc w:val="left"/>
      <w:rPr>
        <w:rFonts w:hint="eastAsia"/>
      </w:rPr>
    </w:lvl>
  </w:abstractNum>
  <w:abstractNum w:abstractNumId="4">
    <w:nsid w:val="2517B9F2"/>
    <w:multiLevelType w:val="singleLevel"/>
    <w:tmpl w:val="2517B9F2"/>
    <w:lvl w:ilvl="0" w:tentative="0">
      <w:start w:val="1"/>
      <w:numFmt w:val="decimal"/>
      <w:suff w:val="nothing"/>
      <w:lvlText w:val="（%1）"/>
      <w:lvlJc w:val="left"/>
    </w:lvl>
  </w:abstractNum>
  <w:abstractNum w:abstractNumId="5">
    <w:nsid w:val="2D0A9480"/>
    <w:multiLevelType w:val="singleLevel"/>
    <w:tmpl w:val="2D0A9480"/>
    <w:lvl w:ilvl="0" w:tentative="0">
      <w:start w:val="1"/>
      <w:numFmt w:val="decimal"/>
      <w:suff w:val="space"/>
      <w:lvlText w:val="%1."/>
      <w:lvlJc w:val="left"/>
      <w:pPr>
        <w:ind w:left="-60"/>
      </w:p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A629A1"/>
    <w:rsid w:val="044E5691"/>
    <w:rsid w:val="06CB49BC"/>
    <w:rsid w:val="077A546B"/>
    <w:rsid w:val="09912142"/>
    <w:rsid w:val="0B0F70BF"/>
    <w:rsid w:val="0B2345C3"/>
    <w:rsid w:val="0B3E192D"/>
    <w:rsid w:val="0D2E3DDB"/>
    <w:rsid w:val="0F046191"/>
    <w:rsid w:val="146A1408"/>
    <w:rsid w:val="15AA3B72"/>
    <w:rsid w:val="15E15A5E"/>
    <w:rsid w:val="184D5B43"/>
    <w:rsid w:val="1B666A40"/>
    <w:rsid w:val="1C9D47FF"/>
    <w:rsid w:val="20C414DD"/>
    <w:rsid w:val="27657FB0"/>
    <w:rsid w:val="29C45EAA"/>
    <w:rsid w:val="2BCA0FC2"/>
    <w:rsid w:val="2FAC79D3"/>
    <w:rsid w:val="2FAE5D04"/>
    <w:rsid w:val="309F5626"/>
    <w:rsid w:val="33B34757"/>
    <w:rsid w:val="34E57F55"/>
    <w:rsid w:val="35AC681C"/>
    <w:rsid w:val="41CF7051"/>
    <w:rsid w:val="4D387E81"/>
    <w:rsid w:val="528D47EC"/>
    <w:rsid w:val="529C3086"/>
    <w:rsid w:val="54B041B4"/>
    <w:rsid w:val="560E087A"/>
    <w:rsid w:val="5AB1123E"/>
    <w:rsid w:val="5F43124B"/>
    <w:rsid w:val="66DE231F"/>
    <w:rsid w:val="69095760"/>
    <w:rsid w:val="6B647236"/>
    <w:rsid w:val="6F79710B"/>
    <w:rsid w:val="6FA73B9E"/>
    <w:rsid w:val="708F76F6"/>
    <w:rsid w:val="74F91C79"/>
    <w:rsid w:val="7570071B"/>
    <w:rsid w:val="7ADB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paragraph" w:customStyle="1" w:styleId="7">
    <w:name w:val="Table Text"/>
    <w:basedOn w:val="1"/>
    <w:autoRedefine/>
    <w:semiHidden/>
    <w:qFormat/>
    <w:uiPriority w:val="0"/>
    <w:rPr>
      <w:rFonts w:ascii="宋体" w:hAnsi="宋体" w:eastAsia="宋体" w:cs="宋体"/>
      <w:szCs w:val="21"/>
      <w:lang w:eastAsia="en-US"/>
    </w:rPr>
  </w:style>
  <w:style w:type="character" w:customStyle="1" w:styleId="8">
    <w:name w:val="font6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7262</Words>
  <Characters>7466</Characters>
  <Lines>0</Lines>
  <Paragraphs>0</Paragraphs>
  <TotalTime>0</TotalTime>
  <ScaleCrop>false</ScaleCrop>
  <LinksUpToDate>false</LinksUpToDate>
  <CharactersWithSpaces>7484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88C582D1C1514633B9E9FD4366824061_13</vt:lpwstr>
  </property>
  <property fmtid="{D5CDD505-2E9C-101B-9397-08002B2CF9AE}" pid="4" name="KSOTemplateDocerSaveRecord">
    <vt:lpwstr>eyJoZGlkIjoiY2Q2MjU2MzMxMTIyNzIyYTQyZjg1OTZhMmRkYzhlY2QiLCJ1c2VySWQiOiI0MTcxNjY3MTMifQ==</vt:lpwstr>
  </property>
</Properties>
</file>