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D9878">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冻品类食材采购及配送服务项目采购需求</w:t>
      </w:r>
    </w:p>
    <w:p w14:paraId="38BE3222">
      <w:pPr>
        <w:keepNext w:val="0"/>
        <w:keepLines w:val="0"/>
        <w:pageBreakBefore w:val="0"/>
        <w:numPr>
          <w:ilvl w:val="0"/>
          <w:numId w:val="1"/>
        </w:numPr>
        <w:kinsoku/>
        <w:wordWrap/>
        <w:overflowPunct/>
        <w:topLinePunct w:val="0"/>
        <w:autoSpaceDE/>
        <w:autoSpaceDN/>
        <w:bidi w:val="0"/>
        <w:adjustRightInd/>
        <w:snapToGrid/>
        <w:jc w:val="left"/>
        <w:rPr>
          <w:rFonts w:hint="eastAsia"/>
          <w:sz w:val="24"/>
          <w:szCs w:val="24"/>
          <w:lang w:val="en-US" w:eastAsia="zh-CN"/>
        </w:rPr>
      </w:pPr>
      <w:r>
        <w:rPr>
          <w:rFonts w:hint="eastAsia" w:ascii="宋体" w:hAnsi="宋体" w:eastAsia="宋体" w:cs="宋体"/>
          <w:sz w:val="24"/>
          <w:szCs w:val="24"/>
          <w:lang w:val="en-US" w:eastAsia="zh-CN"/>
        </w:rPr>
        <w:t>采购需求报价表</w:t>
      </w:r>
    </w:p>
    <w:tbl>
      <w:tblPr>
        <w:tblStyle w:val="5"/>
        <w:tblW w:w="110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3145"/>
        <w:gridCol w:w="2804"/>
        <w:gridCol w:w="1538"/>
        <w:gridCol w:w="2867"/>
      </w:tblGrid>
      <w:tr w14:paraId="6C75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0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C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中山大学附属第一医院广西医院冻品类食材采购及配送服务需求报价表</w:t>
            </w:r>
          </w:p>
        </w:tc>
      </w:tr>
      <w:tr w14:paraId="2F1F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9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6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供应商单位名称（加盖公章）</w:t>
            </w:r>
          </w:p>
        </w:tc>
      </w:tr>
      <w:tr w14:paraId="1250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8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8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E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供货价（元）</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统一下浮系数报价（最终单价报价=各产品供货价×（1-下浮系数））</w:t>
            </w:r>
          </w:p>
        </w:tc>
      </w:tr>
      <w:tr w14:paraId="04D0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1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F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惠发脆香藕盒</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r>
              <w:rPr>
                <w:rFonts w:hint="eastAsia"/>
                <w:sz w:val="22"/>
                <w:szCs w:val="22"/>
                <w:lang w:val="en-US" w:eastAsia="zh-CN"/>
              </w:rPr>
              <w:t>*</w:t>
            </w:r>
            <w:r>
              <w:rPr>
                <w:rFonts w:hint="eastAsia" w:ascii="宋体" w:hAnsi="宋体" w:eastAsia="宋体" w:cs="宋体"/>
                <w:i w:val="0"/>
                <w:iCs w:val="0"/>
                <w:color w:val="000000"/>
                <w:kern w:val="0"/>
                <w:sz w:val="22"/>
                <w:szCs w:val="22"/>
                <w:u w:val="none"/>
                <w:lang w:val="en-US" w:eastAsia="zh-CN" w:bidi="ar"/>
              </w:rPr>
              <w:t>10包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7FC4A">
            <w:pPr>
              <w:jc w:val="center"/>
              <w:rPr>
                <w:rFonts w:hint="eastAsia" w:ascii="宋体" w:hAnsi="宋体" w:eastAsia="宋体" w:cs="宋体"/>
                <w:i w:val="0"/>
                <w:iCs w:val="0"/>
                <w:color w:val="000000"/>
                <w:sz w:val="24"/>
                <w:szCs w:val="24"/>
                <w:u w:val="none"/>
              </w:rPr>
            </w:pPr>
          </w:p>
        </w:tc>
      </w:tr>
      <w:tr w14:paraId="4BE6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康林肉霸70克地道肠（黑胡椒）</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7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70克*10*20包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5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D0835">
            <w:pPr>
              <w:jc w:val="center"/>
              <w:rPr>
                <w:rFonts w:hint="eastAsia" w:ascii="宋体" w:hAnsi="宋体" w:eastAsia="宋体" w:cs="宋体"/>
                <w:i w:val="0"/>
                <w:iCs w:val="0"/>
                <w:color w:val="000000"/>
                <w:sz w:val="24"/>
                <w:szCs w:val="24"/>
                <w:u w:val="none"/>
              </w:rPr>
            </w:pPr>
          </w:p>
        </w:tc>
      </w:tr>
      <w:tr w14:paraId="379A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康林肉霸70克地道肠（原味）</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w:t>
            </w:r>
            <w:r>
              <w:rPr>
                <w:rFonts w:hint="eastAsia"/>
                <w:sz w:val="22"/>
                <w:szCs w:val="22"/>
                <w:lang w:val="en-US" w:eastAsia="zh-CN"/>
              </w:rPr>
              <w:t>*</w:t>
            </w:r>
            <w:r>
              <w:rPr>
                <w:rFonts w:hint="eastAsia" w:ascii="宋体" w:hAnsi="宋体" w:eastAsia="宋体" w:cs="宋体"/>
                <w:i w:val="0"/>
                <w:iCs w:val="0"/>
                <w:color w:val="000000"/>
                <w:kern w:val="0"/>
                <w:sz w:val="22"/>
                <w:szCs w:val="22"/>
                <w:u w:val="none"/>
                <w:lang w:val="en-US" w:eastAsia="zh-CN" w:bidi="ar"/>
              </w:rPr>
              <w:t>10*20包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5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C850D">
            <w:pPr>
              <w:jc w:val="center"/>
              <w:rPr>
                <w:rFonts w:hint="eastAsia" w:ascii="宋体" w:hAnsi="宋体" w:eastAsia="宋体" w:cs="宋体"/>
                <w:i w:val="0"/>
                <w:iCs w:val="0"/>
                <w:color w:val="000000"/>
                <w:sz w:val="24"/>
                <w:szCs w:val="24"/>
                <w:u w:val="none"/>
              </w:rPr>
            </w:pPr>
          </w:p>
        </w:tc>
      </w:tr>
      <w:tr w14:paraId="5A2A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凤祥奥尔良全腿</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9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0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56A17">
            <w:pPr>
              <w:jc w:val="center"/>
              <w:rPr>
                <w:rFonts w:hint="eastAsia" w:ascii="宋体" w:hAnsi="宋体" w:eastAsia="宋体" w:cs="宋体"/>
                <w:i w:val="0"/>
                <w:iCs w:val="0"/>
                <w:color w:val="000000"/>
                <w:sz w:val="24"/>
                <w:szCs w:val="24"/>
                <w:u w:val="none"/>
              </w:rPr>
            </w:pPr>
          </w:p>
        </w:tc>
      </w:tr>
      <w:tr w14:paraId="16E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C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F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适客香辣翅根</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1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1kg*10包（大约150个）</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C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D1A78">
            <w:pPr>
              <w:jc w:val="center"/>
              <w:rPr>
                <w:rFonts w:hint="eastAsia" w:ascii="宋体" w:hAnsi="宋体" w:eastAsia="宋体" w:cs="宋体"/>
                <w:i w:val="0"/>
                <w:iCs w:val="0"/>
                <w:color w:val="000000"/>
                <w:sz w:val="24"/>
                <w:szCs w:val="24"/>
                <w:u w:val="none"/>
              </w:rPr>
            </w:pPr>
          </w:p>
        </w:tc>
      </w:tr>
      <w:tr w14:paraId="1E61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0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学子膳卡兹脆鸡排</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6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A71AB">
            <w:pPr>
              <w:jc w:val="center"/>
              <w:rPr>
                <w:rFonts w:hint="eastAsia" w:ascii="宋体" w:hAnsi="宋体" w:eastAsia="宋体" w:cs="宋体"/>
                <w:i w:val="0"/>
                <w:iCs w:val="0"/>
                <w:color w:val="000000"/>
                <w:sz w:val="24"/>
                <w:szCs w:val="24"/>
                <w:u w:val="none"/>
              </w:rPr>
            </w:pPr>
          </w:p>
        </w:tc>
      </w:tr>
      <w:tr w14:paraId="4C58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6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爱心农家烤蛋饺</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40克*50个*4包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FC132">
            <w:pPr>
              <w:jc w:val="center"/>
              <w:rPr>
                <w:rFonts w:hint="eastAsia" w:ascii="宋体" w:hAnsi="宋体" w:eastAsia="宋体" w:cs="宋体"/>
                <w:i w:val="0"/>
                <w:iCs w:val="0"/>
                <w:color w:val="000000"/>
                <w:sz w:val="24"/>
                <w:szCs w:val="24"/>
                <w:u w:val="none"/>
              </w:rPr>
            </w:pPr>
          </w:p>
        </w:tc>
      </w:tr>
      <w:tr w14:paraId="1379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F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凯达御厨1/4冷冻薯条</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2kg*6包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EA90D">
            <w:pPr>
              <w:jc w:val="center"/>
              <w:rPr>
                <w:rFonts w:hint="eastAsia" w:ascii="宋体" w:hAnsi="宋体" w:eastAsia="宋体" w:cs="宋体"/>
                <w:i w:val="0"/>
                <w:iCs w:val="0"/>
                <w:color w:val="000000"/>
                <w:sz w:val="24"/>
                <w:szCs w:val="24"/>
                <w:u w:val="none"/>
              </w:rPr>
            </w:pPr>
          </w:p>
        </w:tc>
      </w:tr>
      <w:tr w14:paraId="7E83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A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学子膳马蹄鲜肉卷40g</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40g*180个 1.8kg*4包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9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6D28">
            <w:pPr>
              <w:jc w:val="center"/>
              <w:rPr>
                <w:rFonts w:hint="eastAsia" w:ascii="宋体" w:hAnsi="宋体" w:eastAsia="宋体" w:cs="宋体"/>
                <w:i w:val="0"/>
                <w:iCs w:val="0"/>
                <w:color w:val="000000"/>
                <w:sz w:val="24"/>
                <w:szCs w:val="24"/>
                <w:u w:val="none"/>
              </w:rPr>
            </w:pPr>
          </w:p>
        </w:tc>
      </w:tr>
      <w:tr w14:paraId="3A07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B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B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惠发香酥茄卷</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1kg*8</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D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888F6">
            <w:pPr>
              <w:jc w:val="center"/>
              <w:rPr>
                <w:rFonts w:hint="eastAsia" w:ascii="宋体" w:hAnsi="宋体" w:eastAsia="宋体" w:cs="宋体"/>
                <w:i w:val="0"/>
                <w:iCs w:val="0"/>
                <w:color w:val="000000"/>
                <w:sz w:val="24"/>
                <w:szCs w:val="24"/>
                <w:u w:val="none"/>
              </w:rPr>
            </w:pPr>
          </w:p>
        </w:tc>
      </w:tr>
      <w:tr w14:paraId="0AA6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9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众和顺炸黄花鱼（大）</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D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900g*10包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B9A5A">
            <w:pPr>
              <w:jc w:val="center"/>
              <w:rPr>
                <w:rFonts w:hint="eastAsia" w:ascii="宋体" w:hAnsi="宋体" w:eastAsia="宋体" w:cs="宋体"/>
                <w:i w:val="0"/>
                <w:iCs w:val="0"/>
                <w:color w:val="000000"/>
                <w:sz w:val="24"/>
                <w:szCs w:val="24"/>
                <w:u w:val="none"/>
              </w:rPr>
            </w:pPr>
          </w:p>
        </w:tc>
      </w:tr>
      <w:tr w14:paraId="422E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2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2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惠发玉米大烤肠70g</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2.1kg*30根*8包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D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7A75D">
            <w:pPr>
              <w:jc w:val="center"/>
              <w:rPr>
                <w:rFonts w:hint="eastAsia" w:ascii="宋体" w:hAnsi="宋体" w:eastAsia="宋体" w:cs="宋体"/>
                <w:i w:val="0"/>
                <w:iCs w:val="0"/>
                <w:color w:val="000000"/>
                <w:sz w:val="24"/>
                <w:szCs w:val="24"/>
                <w:u w:val="none"/>
              </w:rPr>
            </w:pPr>
          </w:p>
        </w:tc>
      </w:tr>
      <w:tr w14:paraId="5D5F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福美鲜肉霸地道肠（原味）</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70g*50支*4包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CC662">
            <w:pPr>
              <w:jc w:val="center"/>
              <w:rPr>
                <w:rFonts w:hint="eastAsia" w:ascii="宋体" w:hAnsi="宋体" w:eastAsia="宋体" w:cs="宋体"/>
                <w:i w:val="0"/>
                <w:iCs w:val="0"/>
                <w:color w:val="000000"/>
                <w:sz w:val="24"/>
                <w:szCs w:val="24"/>
                <w:u w:val="none"/>
              </w:rPr>
            </w:pPr>
          </w:p>
        </w:tc>
      </w:tr>
      <w:tr w14:paraId="3639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E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福美鲜肉霸地道肠（黑椒味）</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8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70g*50支*4包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08098">
            <w:pPr>
              <w:jc w:val="center"/>
              <w:rPr>
                <w:rFonts w:hint="eastAsia" w:ascii="宋体" w:hAnsi="宋体" w:eastAsia="宋体" w:cs="宋体"/>
                <w:i w:val="0"/>
                <w:iCs w:val="0"/>
                <w:color w:val="000000"/>
                <w:sz w:val="24"/>
                <w:szCs w:val="24"/>
                <w:u w:val="none"/>
              </w:rPr>
            </w:pPr>
          </w:p>
        </w:tc>
      </w:tr>
      <w:tr w14:paraId="4A03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2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8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众盛鸡全翅110-120</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E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5.7kg/件*约50个左右</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1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C9E57">
            <w:pPr>
              <w:jc w:val="center"/>
              <w:rPr>
                <w:rFonts w:hint="eastAsia" w:ascii="宋体" w:hAnsi="宋体" w:eastAsia="宋体" w:cs="宋体"/>
                <w:i w:val="0"/>
                <w:iCs w:val="0"/>
                <w:color w:val="000000"/>
                <w:sz w:val="24"/>
                <w:szCs w:val="24"/>
                <w:u w:val="none"/>
              </w:rPr>
            </w:pPr>
          </w:p>
        </w:tc>
      </w:tr>
      <w:tr w14:paraId="0C50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F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4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隆泰鸡翅根</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4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10KG（50克以上）</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B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57C73">
            <w:pPr>
              <w:jc w:val="center"/>
              <w:rPr>
                <w:rFonts w:hint="eastAsia" w:ascii="宋体" w:hAnsi="宋体" w:eastAsia="宋体" w:cs="宋体"/>
                <w:i w:val="0"/>
                <w:iCs w:val="0"/>
                <w:color w:val="000000"/>
                <w:sz w:val="24"/>
                <w:szCs w:val="24"/>
                <w:u w:val="none"/>
              </w:rPr>
            </w:pPr>
          </w:p>
        </w:tc>
      </w:tr>
      <w:tr w14:paraId="132D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隆泰鸡胸肉</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5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9kg/件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A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B8B124">
            <w:pPr>
              <w:jc w:val="center"/>
              <w:rPr>
                <w:rFonts w:hint="eastAsia" w:ascii="宋体" w:hAnsi="宋体" w:eastAsia="宋体" w:cs="宋体"/>
                <w:i w:val="0"/>
                <w:iCs w:val="0"/>
                <w:color w:val="000000"/>
                <w:sz w:val="24"/>
                <w:szCs w:val="24"/>
                <w:u w:val="none"/>
              </w:rPr>
            </w:pPr>
          </w:p>
        </w:tc>
      </w:tr>
      <w:tr w14:paraId="695A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4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带皮巴沙鱼柳</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10kg/件</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5A748">
            <w:pPr>
              <w:jc w:val="center"/>
              <w:rPr>
                <w:rFonts w:hint="eastAsia" w:ascii="宋体" w:hAnsi="宋体" w:eastAsia="宋体" w:cs="宋体"/>
                <w:i w:val="0"/>
                <w:iCs w:val="0"/>
                <w:color w:val="000000"/>
                <w:sz w:val="24"/>
                <w:szCs w:val="24"/>
                <w:u w:val="none"/>
              </w:rPr>
            </w:pPr>
          </w:p>
        </w:tc>
      </w:tr>
      <w:tr w14:paraId="08B8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4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六和黄皮鸭掌</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1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C19B0">
            <w:pPr>
              <w:jc w:val="center"/>
              <w:rPr>
                <w:rFonts w:hint="eastAsia" w:ascii="宋体" w:hAnsi="宋体" w:eastAsia="宋体" w:cs="宋体"/>
                <w:i w:val="0"/>
                <w:iCs w:val="0"/>
                <w:color w:val="000000"/>
                <w:sz w:val="24"/>
                <w:szCs w:val="24"/>
                <w:u w:val="none"/>
              </w:rPr>
            </w:pPr>
          </w:p>
        </w:tc>
      </w:tr>
      <w:tr w14:paraId="7FD2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A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安井千叶豆腐</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4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F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9B168">
            <w:pPr>
              <w:jc w:val="center"/>
              <w:rPr>
                <w:rFonts w:hint="eastAsia" w:ascii="宋体" w:hAnsi="宋体" w:eastAsia="宋体" w:cs="宋体"/>
                <w:i w:val="0"/>
                <w:iCs w:val="0"/>
                <w:color w:val="000000"/>
                <w:sz w:val="24"/>
                <w:szCs w:val="24"/>
                <w:u w:val="none"/>
              </w:rPr>
            </w:pPr>
          </w:p>
        </w:tc>
      </w:tr>
      <w:tr w14:paraId="1121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牛腱</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8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74523">
            <w:pPr>
              <w:jc w:val="center"/>
              <w:rPr>
                <w:rFonts w:hint="eastAsia" w:ascii="宋体" w:hAnsi="宋体" w:eastAsia="宋体" w:cs="宋体"/>
                <w:i w:val="0"/>
                <w:iCs w:val="0"/>
                <w:color w:val="000000"/>
                <w:sz w:val="24"/>
                <w:szCs w:val="24"/>
                <w:u w:val="none"/>
              </w:rPr>
            </w:pPr>
          </w:p>
        </w:tc>
      </w:tr>
      <w:tr w14:paraId="13A5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7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益客鸭腿</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9.5kg</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5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B6CBD">
            <w:pPr>
              <w:jc w:val="center"/>
              <w:rPr>
                <w:rFonts w:hint="eastAsia" w:ascii="宋体" w:hAnsi="宋体" w:eastAsia="宋体" w:cs="宋体"/>
                <w:i w:val="0"/>
                <w:iCs w:val="0"/>
                <w:color w:val="000000"/>
                <w:sz w:val="24"/>
                <w:szCs w:val="24"/>
                <w:u w:val="none"/>
              </w:rPr>
            </w:pPr>
          </w:p>
        </w:tc>
      </w:tr>
      <w:tr w14:paraId="3D14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海庆兄弟70青虾</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9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0.5kg*10盒</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D9856">
            <w:pPr>
              <w:jc w:val="center"/>
              <w:rPr>
                <w:rFonts w:hint="eastAsia" w:ascii="宋体" w:hAnsi="宋体" w:eastAsia="宋体" w:cs="宋体"/>
                <w:i w:val="0"/>
                <w:iCs w:val="0"/>
                <w:color w:val="000000"/>
                <w:sz w:val="24"/>
                <w:szCs w:val="24"/>
                <w:u w:val="none"/>
              </w:rPr>
            </w:pPr>
          </w:p>
        </w:tc>
      </w:tr>
      <w:tr w14:paraId="1105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欢乐鸡大排翅</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2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5.8kg</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C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7FA86">
            <w:pPr>
              <w:jc w:val="center"/>
              <w:rPr>
                <w:rFonts w:hint="eastAsia" w:ascii="宋体" w:hAnsi="宋体" w:eastAsia="宋体" w:cs="宋体"/>
                <w:i w:val="0"/>
                <w:iCs w:val="0"/>
                <w:color w:val="000000"/>
                <w:sz w:val="24"/>
                <w:szCs w:val="24"/>
                <w:u w:val="none"/>
              </w:rPr>
            </w:pPr>
          </w:p>
        </w:tc>
      </w:tr>
      <w:tr w14:paraId="71E2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9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8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老匡记80个鹌鹑蛋</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80颗以上*6包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3A49D">
            <w:pPr>
              <w:jc w:val="center"/>
              <w:rPr>
                <w:rFonts w:hint="eastAsia" w:ascii="宋体" w:hAnsi="宋体" w:eastAsia="宋体" w:cs="宋体"/>
                <w:i w:val="0"/>
                <w:iCs w:val="0"/>
                <w:color w:val="000000"/>
                <w:sz w:val="24"/>
                <w:szCs w:val="24"/>
                <w:u w:val="none"/>
              </w:rPr>
            </w:pPr>
          </w:p>
        </w:tc>
      </w:tr>
      <w:tr w14:paraId="64FC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0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誉桂仁奶香馒头</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330g（12个）*10包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0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EBB1F">
            <w:pPr>
              <w:jc w:val="center"/>
              <w:rPr>
                <w:rFonts w:hint="eastAsia" w:ascii="宋体" w:hAnsi="宋体" w:eastAsia="宋体" w:cs="宋体"/>
                <w:i w:val="0"/>
                <w:iCs w:val="0"/>
                <w:color w:val="000000"/>
                <w:sz w:val="24"/>
                <w:szCs w:val="24"/>
                <w:u w:val="none"/>
              </w:rPr>
            </w:pPr>
          </w:p>
        </w:tc>
      </w:tr>
      <w:tr w14:paraId="3306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3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惠发玉米大烤肠70g</w:t>
            </w:r>
          </w:p>
        </w:tc>
        <w:tc>
          <w:tcPr>
            <w:tcW w:w="2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E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2.1kg*30根*8包</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54199">
            <w:pPr>
              <w:jc w:val="center"/>
              <w:rPr>
                <w:rFonts w:hint="eastAsia" w:ascii="宋体" w:hAnsi="宋体" w:eastAsia="宋体" w:cs="宋体"/>
                <w:i w:val="0"/>
                <w:iCs w:val="0"/>
                <w:color w:val="000000"/>
                <w:sz w:val="24"/>
                <w:szCs w:val="24"/>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numPr>
          <w:ilvl w:val="0"/>
          <w:numId w:val="0"/>
        </w:numPr>
        <w:spacing w:line="5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4CE97BE1">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总体要求：食材无毒、无害、无污染，符合国家、行业及地方的食品卫生及安全标准，农产品符合国家、行业及地方的无公害农产品标准，安全、卫生和动植物检验、检疫项目按照国家有关规定执行。</w:t>
      </w:r>
    </w:p>
    <w:p w14:paraId="5E4669A6">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2.冻品类：原包装要有SC许可编码，包装上食品新鲜标注清晰，生产日期不早于供货期6个月且在保质期内。</w:t>
      </w:r>
    </w:p>
    <w:p w14:paraId="176E53A7">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3.鸡腿、鸡翅、预包装半加工的冷冻食品：包装要有生产日期标识，且包装标识必须符合国家法定标准并有质量安全标识。</w:t>
      </w:r>
      <w:bookmarkStart w:id="0" w:name="_GoBack"/>
      <w:bookmarkEnd w:id="0"/>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0F3C10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1.成交方收到院方订单30分钟内确认订单可行性，包括库存、数量及送达时间并在规定时间内送达；临时订单需在</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小时内响应并送达。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5F74E1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4.</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应承担全部责任，主要包括食物中毒人员医疗费、误工费、事故处理费等，直至追究刑事责任。</w:t>
      </w:r>
    </w:p>
    <w:p w14:paraId="52EB9CC6">
      <w:pPr>
        <w:keepNext w:val="0"/>
        <w:keepLines w:val="0"/>
        <w:pageBreakBefore w:val="0"/>
        <w:widowControl/>
        <w:numPr>
          <w:ilvl w:val="-1"/>
          <w:numId w:val="0"/>
        </w:numPr>
        <w:kinsoku/>
        <w:wordWrap/>
        <w:overflowPunct/>
        <w:topLinePunct w:val="0"/>
        <w:autoSpaceDE/>
        <w:autoSpaceDN/>
        <w:bidi w:val="0"/>
        <w:adjustRightInd/>
        <w:snapToGrid/>
        <w:spacing w:before="157" w:beforeLines="50" w:line="500" w:lineRule="exact"/>
        <w:ind w:left="0" w:leftChars="0" w:firstLine="0" w:firstLineChars="0"/>
        <w:jc w:val="left"/>
        <w:textAlignment w:val="auto"/>
        <w:rPr>
          <w:rFonts w:hint="eastAsia" w:ascii="宋体" w:hAnsi="宋体" w:eastAsia="宋体" w:cs="宋体"/>
          <w:sz w:val="24"/>
          <w:szCs w:val="24"/>
          <w:lang w:val="en-US" w:eastAsia="zh-CN"/>
        </w:rPr>
      </w:pPr>
      <w:r>
        <w:rPr>
          <w:rFonts w:hint="eastAsia"/>
          <w:sz w:val="24"/>
          <w:lang w:val="en-US" w:eastAsia="zh-CN"/>
        </w:rPr>
        <w:t>五</w:t>
      </w:r>
      <w:r>
        <w:rPr>
          <w:rFonts w:hint="eastAsia"/>
          <w:sz w:val="24"/>
          <w:lang w:val="en-US" w:eastAsia="zh-CN"/>
        </w:rPr>
        <w:t>、</w:t>
      </w:r>
      <w:r>
        <w:rPr>
          <w:rFonts w:hint="eastAsia" w:ascii="宋体" w:hAnsi="宋体" w:eastAsia="宋体" w:cs="宋体"/>
          <w:sz w:val="24"/>
          <w:szCs w:val="24"/>
          <w:lang w:val="en-US" w:eastAsia="zh-CN"/>
        </w:rPr>
        <w:t>违约责任</w:t>
      </w:r>
    </w:p>
    <w:p w14:paraId="2113155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4"/>
        </w:numPr>
        <w:spacing w:line="50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74FA36AF">
      <w:pPr>
        <w:numPr>
          <w:ilvl w:val="0"/>
          <w:numId w:val="4"/>
        </w:numPr>
        <w:spacing w:line="500" w:lineRule="exact"/>
        <w:ind w:firstLine="480" w:firstLineChars="200"/>
        <w:jc w:val="left"/>
        <w:rPr>
          <w:rFonts w:hint="default"/>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15B79E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1.1按统一下浮系数报价；</w:t>
      </w:r>
    </w:p>
    <w:p w14:paraId="431C0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（如：A产品供货价为100元，下浮系数为20%，最终A产品实际采购价格=100×（1-20%）=80元）</w:t>
      </w:r>
    </w:p>
    <w:p w14:paraId="4A0558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1.3报价必须含以下部分：</w:t>
      </w:r>
    </w:p>
    <w:p w14:paraId="482B67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1.3.1货物、服务费用；</w:t>
      </w:r>
    </w:p>
    <w:p w14:paraId="14B5BD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1.3.2报价需包含必要的保险费用和各项税金费用；</w:t>
      </w:r>
    </w:p>
    <w:p w14:paraId="5EC7E0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1.3.3报价需包含购置、检验、分拣、包装、运输、仓储、装卸、配送、搬运、检验检测、售后服务、雇员费用、管理费等合同履行过程中的应预见和不可预见的一切费用。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7BF48E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32526E04">
      <w:pPr>
        <w:pStyle w:val="3"/>
        <w:ind w:left="0" w:firstLine="0"/>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七、中山大学附属第一医院广西医院冻品类食材采购及配送服务评分标准</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5"/>
        <w:gridCol w:w="7591"/>
        <w:gridCol w:w="1064"/>
      </w:tblGrid>
      <w:tr w14:paraId="62DC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755" w:type="dxa"/>
            <w:tcMar>
              <w:top w:w="0" w:type="dxa"/>
              <w:left w:w="108" w:type="dxa"/>
              <w:bottom w:w="0" w:type="dxa"/>
              <w:right w:w="108" w:type="dxa"/>
            </w:tcMar>
            <w:vAlign w:val="center"/>
          </w:tcPr>
          <w:p w14:paraId="477AB5C4">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评分项目</w:t>
            </w:r>
          </w:p>
        </w:tc>
        <w:tc>
          <w:tcPr>
            <w:tcW w:w="6066" w:type="dxa"/>
            <w:tcMar>
              <w:top w:w="0" w:type="dxa"/>
              <w:left w:w="108" w:type="dxa"/>
              <w:bottom w:w="0" w:type="dxa"/>
              <w:right w:w="108" w:type="dxa"/>
            </w:tcMar>
            <w:vAlign w:val="center"/>
          </w:tcPr>
          <w:p w14:paraId="3B4F1017">
            <w:pPr>
              <w:widowControl/>
              <w:wordWrap w:val="0"/>
              <w:spacing w:line="44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评分内容</w:t>
            </w:r>
          </w:p>
        </w:tc>
        <w:tc>
          <w:tcPr>
            <w:tcW w:w="850" w:type="dxa"/>
            <w:tcMar>
              <w:top w:w="0" w:type="dxa"/>
              <w:left w:w="108" w:type="dxa"/>
              <w:bottom w:w="0" w:type="dxa"/>
              <w:right w:w="108" w:type="dxa"/>
            </w:tcMar>
            <w:vAlign w:val="center"/>
          </w:tcPr>
          <w:p w14:paraId="4CFE1676">
            <w:pPr>
              <w:widowControl/>
              <w:wordWrap w:val="0"/>
              <w:spacing w:line="440" w:lineRule="exact"/>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分值</w:t>
            </w:r>
          </w:p>
        </w:tc>
      </w:tr>
      <w:tr w14:paraId="515C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5E488CDD">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价格分</w:t>
            </w:r>
          </w:p>
        </w:tc>
        <w:tc>
          <w:tcPr>
            <w:tcW w:w="6066" w:type="dxa"/>
            <w:tcMar>
              <w:top w:w="0" w:type="dxa"/>
              <w:left w:w="108" w:type="dxa"/>
              <w:bottom w:w="0" w:type="dxa"/>
              <w:right w:w="108" w:type="dxa"/>
            </w:tcMar>
          </w:tcPr>
          <w:p w14:paraId="79E7842C">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5EAA8F1">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13F618D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5507DAC8">
            <w:pPr>
              <w:numPr>
                <w:ilvl w:val="0"/>
                <w:numId w:val="5"/>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5313352">
            <w:pPr>
              <w:numPr>
                <w:ilvl w:val="0"/>
                <w:numId w:val="5"/>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47EF281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51CA9561">
            <w:pPr>
              <w:widowControl/>
              <w:wordWrap w:val="0"/>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850" w:type="dxa"/>
            <w:tcMar>
              <w:top w:w="0" w:type="dxa"/>
              <w:left w:w="108" w:type="dxa"/>
              <w:bottom w:w="0" w:type="dxa"/>
              <w:right w:w="108" w:type="dxa"/>
            </w:tcMar>
            <w:vAlign w:val="center"/>
          </w:tcPr>
          <w:p w14:paraId="58A4F3E6">
            <w:pPr>
              <w:widowControl/>
              <w:wordWrap w:val="0"/>
              <w:jc w:val="both"/>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35</w:t>
            </w:r>
            <w:r>
              <w:rPr>
                <w:rFonts w:hint="eastAsia" w:ascii="仿宋" w:hAnsi="仿宋" w:eastAsia="仿宋" w:cs="仿宋"/>
                <w:color w:val="000000" w:themeColor="text1"/>
                <w:kern w:val="0"/>
                <w:sz w:val="24"/>
                <w:szCs w:val="24"/>
                <w14:textFill>
                  <w14:solidFill>
                    <w14:schemeClr w14:val="tx1"/>
                  </w14:solidFill>
                </w14:textFill>
              </w:rPr>
              <w:t>分</w:t>
            </w:r>
          </w:p>
        </w:tc>
      </w:tr>
      <w:tr w14:paraId="7251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55" w:type="dxa"/>
            <w:tcMar>
              <w:top w:w="0" w:type="dxa"/>
              <w:left w:w="108" w:type="dxa"/>
              <w:bottom w:w="0" w:type="dxa"/>
              <w:right w:w="108" w:type="dxa"/>
            </w:tcMar>
            <w:vAlign w:val="center"/>
          </w:tcPr>
          <w:p w14:paraId="7893BB58">
            <w:pPr>
              <w:widowControl/>
              <w:wordWrap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2、食材安全措施</w:t>
            </w:r>
          </w:p>
          <w:p w14:paraId="0EF70CBE">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p>
        </w:tc>
        <w:tc>
          <w:tcPr>
            <w:tcW w:w="6066" w:type="dxa"/>
            <w:tcMar>
              <w:top w:w="0" w:type="dxa"/>
              <w:left w:w="108" w:type="dxa"/>
              <w:bottom w:w="0" w:type="dxa"/>
              <w:right w:w="108" w:type="dxa"/>
            </w:tcMar>
            <w:vAlign w:val="top"/>
          </w:tcPr>
          <w:p w14:paraId="7DB667EF">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包括进货采购渠道、食材控制管理措施、检验检疫措施、食材质量标准、追溯方式等情况进行比较综合评分。评审小组根据供应商提供的食材安全措施内容方面进行评价。</w:t>
            </w:r>
          </w:p>
          <w:p w14:paraId="5B8D9A5F">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分）：对进货采购渠道虽有固定货源但不稳定，食材控制管理措施不完善，从选择食品原料货源到运输，质量安全保证措施有针对性但不明显，无服务特点，方案基本完整、食材质量标准、追溯方式这几个方面描述简单或不完善，检验检疫措施简单；</w:t>
            </w:r>
          </w:p>
          <w:p w14:paraId="5B0C5066">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有固定货源且货源稳定，食材控制管理措施比较完善，从选择食品原料货源到运输，质量安全保证措施有针对性但不突出，服务特点较明确，方案有一定的针对性，食材质量标准、追溯方式这几个方面描述较清晰、较详细，检验检疫措施较全面；</w:t>
            </w:r>
          </w:p>
          <w:p w14:paraId="197182D7">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食材控制管理措施完善，从选择食品原料货源到运输，质量安全保证措施比较有针对性和服务特点，方案较完整、较具体，食材质量标准、追溯方式这几个方面描述清晰，详细，检验检疫措施详细、全面，能严格进行食材质量把关；</w:t>
            </w:r>
          </w:p>
          <w:p w14:paraId="6D40D39E">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充足，有部分食材的加工清洗设备，食材控制管理措施完善，从选择食品原料货源到运输，质量安全保证措施有针对性和服务特点，方案完整、清晰、具体、科学、合理、切实可行，食材质量标准、追溯方式这几个方面全部描述清晰，详细，检验检疫措施详细、全面，各项措施安排合理,可操作性强，能严格进行食材质量把关。</w:t>
            </w:r>
          </w:p>
        </w:tc>
        <w:tc>
          <w:tcPr>
            <w:tcW w:w="850" w:type="dxa"/>
            <w:tcMar>
              <w:top w:w="0" w:type="dxa"/>
              <w:left w:w="108" w:type="dxa"/>
              <w:bottom w:w="0" w:type="dxa"/>
              <w:right w:w="108" w:type="dxa"/>
            </w:tcMar>
            <w:vAlign w:val="center"/>
          </w:tcPr>
          <w:p w14:paraId="7ACC735F">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3709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3C882CD1">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3、配送方案</w:t>
            </w:r>
          </w:p>
        </w:tc>
        <w:tc>
          <w:tcPr>
            <w:tcW w:w="6066" w:type="dxa"/>
            <w:tcMar>
              <w:top w:w="0" w:type="dxa"/>
              <w:left w:w="108" w:type="dxa"/>
              <w:bottom w:w="0" w:type="dxa"/>
              <w:right w:w="108" w:type="dxa"/>
            </w:tcMar>
            <w:vAlign w:val="top"/>
          </w:tcPr>
          <w:p w14:paraId="3EDC2FF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由评审小组在打分前根据各响应人的配送方案确定各响应人所属档次并打分，达不到一档要求的不得分。</w:t>
            </w:r>
          </w:p>
          <w:p w14:paraId="42295B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配送服务方案基本满足要求（如配送计划、配送路线、进度控制措施等）、描述简单，基本保证配送服务；对问题供应货品发生紧急事件处理预案内容差、基本可行的；</w:t>
            </w:r>
          </w:p>
          <w:p w14:paraId="3BB508B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项目配送体系、供货时间安排合理，有较完善的配送服务方案（如配送计划、配送路线、进度控制措施等），描述较详细，具体实施步骤和要求描述较详细；有具体的配送服务承诺（需提供承诺函）；在保证配送服务业务外有机动人员用于对紧急事件处理，对配送及应急处理响应快，对问题供应货品发生紧急事件处理预案内容具体，有一定针对性;</w:t>
            </w:r>
          </w:p>
          <w:p w14:paraId="4E3E8E6B">
            <w:pPr>
              <w:widowControl/>
              <w:wordWrap w:val="0"/>
              <w:ind w:firstLine="480" w:firstLineChars="200"/>
              <w:jc w:val="left"/>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auto"/>
                <w:kern w:val="0"/>
                <w:sz w:val="24"/>
                <w:szCs w:val="24"/>
                <w:lang w:val="en-US" w:eastAsia="zh-CN" w:bidi="ar-SA"/>
              </w:rPr>
              <w:t>三档(15分)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lang w:val="en-US" w:eastAsia="zh-CN" w:bidi="ar-SA"/>
              </w:rPr>
              <w:t>配送工作体系健全完善，配送供货时间安排科学合理，针对项目实际情况，能提供全面细致、可靠的管理制度、配送服务方案（如配送计划、配送路线、进度控制措施等），描述详细，具体实施步骤和要求描述全面，可行性强，充分优于本项目需求；具有明确有具体时间的配送服务承诺（能承诺说明各个阶段工作安排）及被评委认可的增值服务承诺的，方案可行高；工作计划周密，人员配备充足，能提供合理的验收方案；对问题食材发生紧急事件处理预案内容的具体、全面。</w:t>
            </w:r>
          </w:p>
        </w:tc>
        <w:tc>
          <w:tcPr>
            <w:tcW w:w="850" w:type="dxa"/>
            <w:tcMar>
              <w:top w:w="0" w:type="dxa"/>
              <w:left w:w="108" w:type="dxa"/>
              <w:bottom w:w="0" w:type="dxa"/>
              <w:right w:w="108" w:type="dxa"/>
            </w:tcMar>
            <w:vAlign w:val="center"/>
          </w:tcPr>
          <w:p w14:paraId="57AA2F5C">
            <w:pPr>
              <w:widowControl/>
              <w:wordWrap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分</w:t>
            </w:r>
          </w:p>
        </w:tc>
      </w:tr>
      <w:tr w14:paraId="55C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755" w:type="dxa"/>
            <w:tcMar>
              <w:top w:w="0" w:type="dxa"/>
              <w:left w:w="108" w:type="dxa"/>
              <w:bottom w:w="0" w:type="dxa"/>
              <w:right w:w="108" w:type="dxa"/>
            </w:tcMar>
            <w:vAlign w:val="center"/>
          </w:tcPr>
          <w:p w14:paraId="3ECD56CD">
            <w:pPr>
              <w:widowControl/>
              <w:numPr>
                <w:ilvl w:val="0"/>
                <w:numId w:val="0"/>
              </w:numPr>
              <w:wordWrap w:val="0"/>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4、售后服务方案</w:t>
            </w:r>
          </w:p>
        </w:tc>
        <w:tc>
          <w:tcPr>
            <w:tcW w:w="6066" w:type="dxa"/>
            <w:tcMar>
              <w:top w:w="0" w:type="dxa"/>
              <w:left w:w="108" w:type="dxa"/>
              <w:bottom w:w="0" w:type="dxa"/>
              <w:right w:w="108" w:type="dxa"/>
            </w:tcMar>
            <w:vAlign w:val="top"/>
          </w:tcPr>
          <w:p w14:paraId="11DCD24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评审小组根据响应人提供的售后服务方案（包括承诺如何确保按期按质按量供货、出现问题时如何采取相应的措施、如何保障后期服务等，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val="en-US" w:eastAsia="zh-CN"/>
              </w:rPr>
              <w:t>响应文件中</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kern w:val="0"/>
                <w:sz w:val="24"/>
                <w:szCs w:val="24"/>
                <w:lang w:val="en-US" w:eastAsia="zh-CN" w:bidi="ar-SA"/>
              </w:rPr>
              <w:t>）内容进行打分，达不到一档要求的不得分。</w:t>
            </w:r>
          </w:p>
          <w:p w14:paraId="29E7AE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一档（5分）：承诺退换时间≤90分钟，服务承诺、措施、后期服务承诺较简单。</w:t>
            </w:r>
          </w:p>
          <w:p w14:paraId="59C4C30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二档（10分）：承诺退换时间≤60分钟，服务承诺、措施可行，后期服务承诺响应满足项目需求，货物出问题时，有相应的解决措施，并明确如何确保退换的货物符合院方需求。</w:t>
            </w:r>
          </w:p>
          <w:p w14:paraId="79549A98">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color w:val="auto"/>
                <w:sz w:val="24"/>
                <w:szCs w:val="24"/>
              </w:rPr>
            </w:pPr>
            <w:r>
              <w:rPr>
                <w:rFonts w:hint="eastAsia" w:ascii="仿宋" w:hAnsi="仿宋" w:eastAsia="仿宋" w:cs="仿宋"/>
                <w:b w:val="0"/>
                <w:bCs w:val="0"/>
                <w:color w:val="auto"/>
                <w:kern w:val="0"/>
                <w:sz w:val="24"/>
                <w:szCs w:val="24"/>
                <w:lang w:val="en-US" w:eastAsia="zh-CN" w:bidi="ar-SA"/>
              </w:rPr>
              <w:t>三档（15分）：对因货物出现问题，而对发生紧急事件问题处理预案内容具体、全面，并承诺退换时间≤30分钟，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院方需求，并配备专门人员为院方提供服务，确保接到院方通知后30分钟响应。</w:t>
            </w:r>
          </w:p>
        </w:tc>
        <w:tc>
          <w:tcPr>
            <w:tcW w:w="850" w:type="dxa"/>
            <w:tcMar>
              <w:top w:w="0" w:type="dxa"/>
              <w:left w:w="108" w:type="dxa"/>
              <w:bottom w:w="0" w:type="dxa"/>
              <w:right w:w="108" w:type="dxa"/>
            </w:tcMar>
            <w:vAlign w:val="center"/>
          </w:tcPr>
          <w:p w14:paraId="0F41A82E">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0B8B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098380A1">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5、商务分</w:t>
            </w:r>
          </w:p>
        </w:tc>
        <w:tc>
          <w:tcPr>
            <w:tcW w:w="6066" w:type="dxa"/>
            <w:tcMar>
              <w:top w:w="0" w:type="dxa"/>
              <w:left w:w="108" w:type="dxa"/>
              <w:bottom w:w="0" w:type="dxa"/>
              <w:right w:w="108" w:type="dxa"/>
            </w:tcMar>
            <w:vAlign w:val="center"/>
          </w:tcPr>
          <w:p w14:paraId="6D71E2EE">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业绩分(满分5分)响应人自 2023 年以来承担过同类食材配送业绩，每一个业绩得1分，满分5分。(响应文件中提供中标(成交)通知书或合同复印件，及合同发票复印件并加盖供应商公章，否则不得分。)</w:t>
            </w:r>
          </w:p>
          <w:p w14:paraId="20F04841">
            <w:pPr>
              <w:widowControl/>
              <w:numPr>
                <w:ilvl w:val="0"/>
                <w:numId w:val="6"/>
              </w:numPr>
              <w:wordWrap w:val="0"/>
              <w:ind w:left="-60" w:firstLine="480" w:firstLineChars="0"/>
              <w:jc w:val="left"/>
              <w:rPr>
                <w:rFonts w:hint="eastAsia" w:ascii="仿宋" w:hAnsi="仿宋" w:eastAsia="仿宋" w:cs="仿宋"/>
                <w:b w:val="0"/>
                <w:bCs w:val="0"/>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配送能力分(满分3分)。响应人拟投入本项目的配送车辆，每投入一辆普通货车或面包车或其他配送车辆的得1分，满分3分。（响应文件中</w:t>
            </w:r>
            <w:r>
              <w:rPr>
                <w:rFonts w:hint="eastAsia" w:ascii="仿宋" w:hAnsi="仿宋" w:eastAsia="仿宋" w:cs="仿宋"/>
                <w:color w:val="000000" w:themeColor="text1"/>
                <w:kern w:val="0"/>
                <w:sz w:val="24"/>
                <w14:textFill>
                  <w14:solidFill>
                    <w14:schemeClr w14:val="tx1"/>
                  </w14:solidFill>
                </w14:textFill>
              </w:rPr>
              <w:t>提供相关运输车辆的机动车行驶证复印件及运输车辆照片</w:t>
            </w:r>
            <w:r>
              <w:rPr>
                <w:rFonts w:hint="eastAsia" w:ascii="仿宋" w:hAnsi="仿宋" w:eastAsia="仿宋" w:cs="仿宋"/>
                <w:color w:val="000000" w:themeColor="text1"/>
                <w:kern w:val="0"/>
                <w:sz w:val="24"/>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供应商自有车辆的，提供车辆行驶证；车辆为租赁的，提供车辆行驶证及车辆租用合同</w:t>
            </w:r>
            <w:r>
              <w:rPr>
                <w:rFonts w:hint="eastAsia" w:ascii="仿宋" w:hAnsi="仿宋" w:eastAsia="仿宋" w:cs="仿宋"/>
                <w:b w:val="0"/>
                <w:bCs w:val="0"/>
                <w:color w:val="000000" w:themeColor="text1"/>
                <w:kern w:val="0"/>
                <w:sz w:val="24"/>
                <w:szCs w:val="24"/>
                <w:lang w:val="en-US" w:eastAsia="zh-CN"/>
                <w14:textFill>
                  <w14:solidFill>
                    <w14:schemeClr w14:val="tx1"/>
                  </w14:solidFill>
                </w14:textFill>
              </w:rPr>
              <w:t>复印件。证明材料需加盖供应商公章，否则不得分。）</w:t>
            </w:r>
          </w:p>
          <w:p w14:paraId="5C50D7A8">
            <w:pPr>
              <w:widowControl/>
              <w:numPr>
                <w:ilvl w:val="0"/>
                <w:numId w:val="6"/>
              </w:numPr>
              <w:wordWrap w:val="0"/>
              <w:ind w:left="-60" w:firstLine="480" w:firstLineChars="0"/>
              <w:jc w:val="left"/>
              <w:rPr>
                <w:rFonts w:hint="eastAsia" w:ascii="仿宋" w:hAnsi="仿宋" w:eastAsia="仿宋" w:cs="仿宋"/>
                <w:color w:val="auto"/>
                <w:kern w:val="0"/>
                <w:sz w:val="24"/>
                <w:szCs w:val="24"/>
              </w:rPr>
            </w:pP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仓储设施分（满分2分），响应人有固定的仓储设施的得1分；同时仓库与经营场地一致的得1分（提供相关的租赁合同复印件或房产证明材料），满分2分。</w:t>
            </w:r>
          </w:p>
        </w:tc>
        <w:tc>
          <w:tcPr>
            <w:tcW w:w="850" w:type="dxa"/>
            <w:tcMar>
              <w:top w:w="0" w:type="dxa"/>
              <w:left w:w="108" w:type="dxa"/>
              <w:bottom w:w="0" w:type="dxa"/>
              <w:right w:w="108" w:type="dxa"/>
            </w:tcMar>
            <w:vAlign w:val="center"/>
          </w:tcPr>
          <w:p w14:paraId="0DBA0A53">
            <w:pPr>
              <w:widowControl/>
              <w:wordWrap w:val="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10分</w:t>
            </w:r>
          </w:p>
        </w:tc>
      </w:tr>
      <w:tr w14:paraId="238C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5" w:type="dxa"/>
            <w:tcMar>
              <w:top w:w="0" w:type="dxa"/>
              <w:left w:w="108" w:type="dxa"/>
              <w:bottom w:w="0" w:type="dxa"/>
              <w:right w:w="108" w:type="dxa"/>
            </w:tcMar>
            <w:vAlign w:val="center"/>
          </w:tcPr>
          <w:p w14:paraId="0B5E6203">
            <w:pPr>
              <w:widowControl/>
              <w:wordWrap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6、现场考察分</w:t>
            </w:r>
          </w:p>
        </w:tc>
        <w:tc>
          <w:tcPr>
            <w:tcW w:w="6066" w:type="dxa"/>
            <w:tcMar>
              <w:top w:w="0" w:type="dxa"/>
              <w:left w:w="108" w:type="dxa"/>
              <w:bottom w:w="0" w:type="dxa"/>
              <w:right w:w="108" w:type="dxa"/>
            </w:tcMar>
            <w:vAlign w:val="center"/>
          </w:tcPr>
          <w:p w14:paraId="0BABF7D1">
            <w:pPr>
              <w:widowControl/>
              <w:numPr>
                <w:ilvl w:val="0"/>
                <w:numId w:val="7"/>
              </w:numPr>
              <w:wordWrap w:val="0"/>
              <w:ind w:left="-6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食材质量</w:t>
            </w:r>
            <w:r>
              <w:rPr>
                <w:rFonts w:hint="eastAsia" w:ascii="仿宋" w:hAnsi="仿宋" w:eastAsia="仿宋" w:cs="仿宋"/>
                <w:color w:val="000000" w:themeColor="text1"/>
                <w:kern w:val="0"/>
                <w:sz w:val="24"/>
                <w:szCs w:val="24"/>
                <w14:textFill>
                  <w14:solidFill>
                    <w14:schemeClr w14:val="tx1"/>
                  </w14:solidFill>
                </w14:textFill>
              </w:rPr>
              <w:t>（5分）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现场查看食材</w:t>
            </w:r>
            <w:r>
              <w:rPr>
                <w:rFonts w:hint="eastAsia" w:ascii="仿宋" w:hAnsi="仿宋" w:eastAsia="仿宋" w:cs="仿宋"/>
                <w:color w:val="000000" w:themeColor="text1"/>
                <w:kern w:val="0"/>
                <w:sz w:val="24"/>
                <w:szCs w:val="24"/>
                <w:lang w:eastAsia="zh-CN"/>
                <w14:textFill>
                  <w14:solidFill>
                    <w14:schemeClr w14:val="tx1"/>
                  </w14:solidFill>
                </w14:textFill>
              </w:rPr>
              <w:t>外观、新鲜度、品质、包装</w:t>
            </w:r>
            <w:r>
              <w:rPr>
                <w:rFonts w:hint="eastAsia" w:ascii="仿宋" w:hAnsi="仿宋" w:eastAsia="仿宋" w:cs="仿宋"/>
                <w:color w:val="000000" w:themeColor="text1"/>
                <w:kern w:val="0"/>
                <w:sz w:val="24"/>
                <w:szCs w:val="24"/>
                <w:lang w:val="en-US" w:eastAsia="zh-CN"/>
                <w14:textFill>
                  <w14:solidFill>
                    <w14:schemeClr w14:val="tx1"/>
                  </w14:solidFill>
                </w14:textFill>
              </w:rPr>
              <w:t>和存储环境等方面，进行综合打分。</w:t>
            </w:r>
          </w:p>
          <w:p w14:paraId="657236F8">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冷链能力（1分）</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自有/合作冷链车辆≥3辆（附协议），得1分。</w:t>
            </w:r>
          </w:p>
          <w:p w14:paraId="0CD1FC89">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销售场所（2分）：场地远离污染源、卫生达标得1分；冷库温控记录完整得1分。</w:t>
            </w:r>
          </w:p>
          <w:p w14:paraId="6980539A">
            <w:pPr>
              <w:widowControl/>
              <w:numPr>
                <w:ilvl w:val="0"/>
                <w:numId w:val="7"/>
              </w:numPr>
              <w:wordWrap w:val="0"/>
              <w:ind w:left="-60" w:leftChars="0" w:firstLine="480" w:firstLineChars="0"/>
              <w:jc w:val="left"/>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从业人员（2分）：食品从业人员须持有有效期内健康证明，得1分；专职食品安全管理员持证得1分（需提供相关人员证件复印件并加盖供应商公章，否则不得分）。</w:t>
            </w:r>
          </w:p>
          <w:p w14:paraId="5327DB89">
            <w:pPr>
              <w:widowControl/>
              <w:wordWrap w:val="0"/>
              <w:ind w:firstLine="480" w:firstLineChars="200"/>
              <w:jc w:val="both"/>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按以上要求结合响应</w:t>
            </w:r>
            <w:r>
              <w:rPr>
                <w:rFonts w:hint="eastAsia" w:ascii="仿宋" w:hAnsi="仿宋" w:eastAsia="仿宋" w:cs="仿宋"/>
                <w:color w:val="000000" w:themeColor="text1"/>
                <w:kern w:val="0"/>
                <w:sz w:val="24"/>
                <w:szCs w:val="24"/>
                <w14:textFill>
                  <w14:solidFill>
                    <w14:schemeClr w14:val="tx1"/>
                  </w14:solidFill>
                </w14:textFill>
              </w:rPr>
              <w:t>供应商</w:t>
            </w:r>
            <w:r>
              <w:rPr>
                <w:rFonts w:hint="eastAsia" w:ascii="仿宋" w:hAnsi="仿宋" w:eastAsia="仿宋" w:cs="仿宋"/>
                <w:color w:val="000000" w:themeColor="text1"/>
                <w:kern w:val="0"/>
                <w:sz w:val="24"/>
                <w:szCs w:val="24"/>
                <w:lang w:val="en-US" w:eastAsia="zh-CN"/>
                <w14:textFill>
                  <w14:solidFill>
                    <w14:schemeClr w14:val="tx1"/>
                  </w14:solidFill>
                </w14:textFill>
              </w:rPr>
              <w:t>现场考察情况进行</w:t>
            </w:r>
            <w:r>
              <w:rPr>
                <w:rFonts w:hint="eastAsia" w:ascii="仿宋" w:hAnsi="仿宋" w:eastAsia="仿宋" w:cs="仿宋"/>
                <w:color w:val="000000" w:themeColor="text1"/>
                <w:kern w:val="0"/>
                <w:sz w:val="24"/>
                <w:szCs w:val="24"/>
                <w14:textFill>
                  <w14:solidFill>
                    <w14:schemeClr w14:val="tx1"/>
                  </w14:solidFill>
                </w14:textFill>
              </w:rPr>
              <w:t>打分</w:t>
            </w:r>
            <w:r>
              <w:rPr>
                <w:rFonts w:hint="eastAsia" w:ascii="仿宋" w:hAnsi="仿宋" w:eastAsia="仿宋" w:cs="仿宋"/>
                <w:color w:val="000000" w:themeColor="text1"/>
                <w:kern w:val="0"/>
                <w:sz w:val="24"/>
                <w:szCs w:val="24"/>
                <w:lang w:eastAsia="zh-CN"/>
                <w14:textFill>
                  <w14:solidFill>
                    <w14:schemeClr w14:val="tx1"/>
                  </w14:solidFill>
                </w14:textFill>
              </w:rPr>
              <w:t>。</w:t>
            </w:r>
          </w:p>
        </w:tc>
        <w:tc>
          <w:tcPr>
            <w:tcW w:w="850" w:type="dxa"/>
            <w:tcMar>
              <w:top w:w="0" w:type="dxa"/>
              <w:left w:w="108" w:type="dxa"/>
              <w:bottom w:w="0" w:type="dxa"/>
              <w:right w:w="108" w:type="dxa"/>
            </w:tcMar>
            <w:vAlign w:val="center"/>
          </w:tcPr>
          <w:p w14:paraId="5D88B9B7">
            <w:pPr>
              <w:widowControl/>
              <w:wordWrap w:val="0"/>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10分</w:t>
            </w:r>
          </w:p>
        </w:tc>
      </w:tr>
      <w:tr w14:paraId="7885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6821" w:type="dxa"/>
            <w:gridSpan w:val="2"/>
            <w:tcMar>
              <w:top w:w="0" w:type="dxa"/>
              <w:left w:w="108" w:type="dxa"/>
              <w:bottom w:w="0" w:type="dxa"/>
              <w:right w:w="108" w:type="dxa"/>
            </w:tcMar>
            <w:vAlign w:val="center"/>
          </w:tcPr>
          <w:p w14:paraId="22D47074">
            <w:pPr>
              <w:widowControl/>
              <w:wordWrap w:val="0"/>
              <w:ind w:firstLine="480" w:firstLineChars="20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w:t>
            </w:r>
          </w:p>
        </w:tc>
        <w:tc>
          <w:tcPr>
            <w:tcW w:w="850" w:type="dxa"/>
            <w:tcMar>
              <w:top w:w="0" w:type="dxa"/>
              <w:left w:w="108" w:type="dxa"/>
              <w:bottom w:w="0" w:type="dxa"/>
              <w:right w:w="108" w:type="dxa"/>
            </w:tcMar>
            <w:vAlign w:val="center"/>
          </w:tcPr>
          <w:p w14:paraId="429A2F56">
            <w:pPr>
              <w:widowControl/>
              <w:wordWrap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100分</w:t>
            </w:r>
          </w:p>
        </w:tc>
      </w:tr>
    </w:tbl>
    <w:p w14:paraId="017868C3">
      <w:pPr>
        <w:rPr>
          <w:rFonts w:hint="eastAsia" w:ascii="仿宋" w:hAnsi="仿宋" w:eastAsia="仿宋" w:cs="仿宋"/>
          <w:sz w:val="24"/>
          <w:szCs w:val="24"/>
        </w:rPr>
      </w:pPr>
    </w:p>
    <w:p w14:paraId="05694D9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lang w:val="en-US" w:eastAsia="zh-CN" w:bidi="ar-SA"/>
        </w:rPr>
      </w:pPr>
    </w:p>
    <w:p w14:paraId="389BCC67">
      <w:pPr>
        <w:pStyle w:val="2"/>
        <w:rPr>
          <w:rFonts w:hint="default" w:ascii="楷体_GB2312" w:hAnsi="Arial" w:eastAsia="楷体_GB2312" w:cstheme="minorBidi"/>
          <w:color w:val="auto"/>
          <w:sz w:val="28"/>
          <w:szCs w:val="28"/>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FE6832B0"/>
    <w:multiLevelType w:val="singleLevel"/>
    <w:tmpl w:val="FE6832B0"/>
    <w:lvl w:ilvl="0" w:tentative="0">
      <w:start w:val="1"/>
      <w:numFmt w:val="decimal"/>
      <w:suff w:val="space"/>
      <w:lvlText w:val="%1."/>
      <w:lvlJc w:val="left"/>
      <w:pPr>
        <w:ind w:left="-60"/>
      </w:pPr>
    </w:lvl>
  </w:abstractNum>
  <w:abstractNum w:abstractNumId="2">
    <w:nsid w:val="002B6A1C"/>
    <w:multiLevelType w:val="singleLevel"/>
    <w:tmpl w:val="002B6A1C"/>
    <w:lvl w:ilvl="0" w:tentative="0">
      <w:start w:val="1"/>
      <w:numFmt w:val="chineseCounting"/>
      <w:suff w:val="nothing"/>
      <w:lvlText w:val="%1、"/>
      <w:lvlJc w:val="left"/>
      <w:rPr>
        <w:rFonts w:hint="eastAsia"/>
      </w:rPr>
    </w:lvl>
  </w:abstractNum>
  <w:abstractNum w:abstractNumId="3">
    <w:nsid w:val="2517B9F2"/>
    <w:multiLevelType w:val="singleLevel"/>
    <w:tmpl w:val="2517B9F2"/>
    <w:lvl w:ilvl="0" w:tentative="0">
      <w:start w:val="1"/>
      <w:numFmt w:val="decimal"/>
      <w:suff w:val="nothing"/>
      <w:lvlText w:val="（%1）"/>
      <w:lvlJc w:val="left"/>
    </w:lvl>
  </w:abstractNum>
  <w:abstractNum w:abstractNumId="4">
    <w:nsid w:val="2D0A9480"/>
    <w:multiLevelType w:val="singleLevel"/>
    <w:tmpl w:val="2D0A9480"/>
    <w:lvl w:ilvl="0" w:tentative="0">
      <w:start w:val="1"/>
      <w:numFmt w:val="decimal"/>
      <w:suff w:val="space"/>
      <w:lvlText w:val="%1."/>
      <w:lvlJc w:val="left"/>
      <w:pPr>
        <w:ind w:left="-60"/>
      </w:pPr>
    </w:lvl>
  </w:abstractNum>
  <w:abstractNum w:abstractNumId="5">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6">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0B06F84"/>
    <w:rsid w:val="0295277A"/>
    <w:rsid w:val="03AD7AA3"/>
    <w:rsid w:val="07762B7A"/>
    <w:rsid w:val="0D2F0B75"/>
    <w:rsid w:val="0E3E18A1"/>
    <w:rsid w:val="0F046191"/>
    <w:rsid w:val="10324932"/>
    <w:rsid w:val="14917B83"/>
    <w:rsid w:val="16EB6EA7"/>
    <w:rsid w:val="17E47482"/>
    <w:rsid w:val="1BF46A42"/>
    <w:rsid w:val="1C790346"/>
    <w:rsid w:val="209D758B"/>
    <w:rsid w:val="25E53DF4"/>
    <w:rsid w:val="27657FB0"/>
    <w:rsid w:val="2C421CE1"/>
    <w:rsid w:val="2D1D6A76"/>
    <w:rsid w:val="31560EBB"/>
    <w:rsid w:val="3198766B"/>
    <w:rsid w:val="33AB3042"/>
    <w:rsid w:val="34670B79"/>
    <w:rsid w:val="35AC681C"/>
    <w:rsid w:val="38AA3871"/>
    <w:rsid w:val="405E25C9"/>
    <w:rsid w:val="4065684B"/>
    <w:rsid w:val="40EA37FD"/>
    <w:rsid w:val="42516510"/>
    <w:rsid w:val="46105EFE"/>
    <w:rsid w:val="490E5F56"/>
    <w:rsid w:val="4B6B6C50"/>
    <w:rsid w:val="528D47EC"/>
    <w:rsid w:val="558A64FA"/>
    <w:rsid w:val="560E087A"/>
    <w:rsid w:val="580274BB"/>
    <w:rsid w:val="583464B8"/>
    <w:rsid w:val="5F4B3BB2"/>
    <w:rsid w:val="63D62E29"/>
    <w:rsid w:val="67062D59"/>
    <w:rsid w:val="673E53E8"/>
    <w:rsid w:val="683E44CA"/>
    <w:rsid w:val="69095760"/>
    <w:rsid w:val="6F79710B"/>
    <w:rsid w:val="6FA73B9E"/>
    <w:rsid w:val="70020A59"/>
    <w:rsid w:val="74F91C79"/>
    <w:rsid w:val="77EE3EE2"/>
    <w:rsid w:val="78220C68"/>
    <w:rsid w:val="7862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4">
    <w:name w:val="annotation text"/>
    <w:basedOn w:val="1"/>
    <w:qFormat/>
    <w:uiPriority w:val="0"/>
    <w:pPr>
      <w:jc w:val="left"/>
    </w:p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91"/>
    <w:basedOn w:val="6"/>
    <w:qFormat/>
    <w:uiPriority w:val="0"/>
    <w:rPr>
      <w:rFonts w:hint="eastAsia" w:ascii="宋体" w:hAnsi="宋体" w:eastAsia="宋体" w:cs="宋体"/>
      <w:color w:val="000000"/>
      <w:sz w:val="22"/>
      <w:szCs w:val="22"/>
      <w:u w:val="single"/>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3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6502</Words>
  <Characters>6862</Characters>
  <Lines>0</Lines>
  <Paragraphs>0</Paragraphs>
  <TotalTime>17</TotalTime>
  <ScaleCrop>false</ScaleCrop>
  <LinksUpToDate>false</LinksUpToDate>
  <CharactersWithSpaces>6869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2026-04-16T07:16:12Z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FEAE8C697C7B48748B2FD585B1BF8073_13</vt:lpwstr>
  </property>
  <property fmtid="{D5CDD505-2E9C-101B-9397-08002B2CF9AE}" pid="4" name="KSOTemplateDocerSaveRecord">
    <vt:lpwstr>eyJoZGlkIjoiY2Q2MjU2MzMxMTIyNzIyYTQyZjg1OTZhMmRkYzhlY2QiLCJ1c2VySWQiOiI0MTcxNjY3MTMifQ==</vt:lpwstr>
  </property>
</Properties>
</file>