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936" w:tblpY="1518"/>
        <w:tblOverlap w:val="never"/>
        <w:tblW w:w="9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937"/>
        <w:gridCol w:w="5893"/>
        <w:gridCol w:w="1107"/>
        <w:gridCol w:w="1344"/>
      </w:tblGrid>
      <w:tr w14:paraId="4A85F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9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95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 w:ascii="Arial" w:hAnsi="Arial" w:cs="Arial"/>
                <w:b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highlight w:val="none"/>
                <w:lang w:val="en-US" w:eastAsia="zh-CN"/>
              </w:rPr>
              <w:t>附件2</w:t>
            </w:r>
          </w:p>
        </w:tc>
      </w:tr>
      <w:tr w14:paraId="3CC5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0D8A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eastAsia" w:ascii="Arial" w:hAnsi="Arial" w:cs="Arial" w:eastAsiaTheme="minorEastAsia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highlight w:val="none"/>
                <w:lang w:val="en-US" w:eastAsia="zh-CN"/>
              </w:rPr>
              <w:t>关于2025年运营情况专项审计服务的评分办法</w:t>
            </w:r>
          </w:p>
        </w:tc>
      </w:tr>
      <w:tr w14:paraId="27BFE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tcBorders>
              <w:top w:val="single" w:color="auto" w:sz="4" w:space="0"/>
            </w:tcBorders>
            <w:vAlign w:val="center"/>
          </w:tcPr>
          <w:p w14:paraId="639984DB">
            <w:pPr>
              <w:jc w:val="center"/>
              <w:rPr>
                <w:rFonts w:hint="eastAsia" w:ascii="Arial" w:hAnsi="Arial" w:eastAsia="宋体" w:cs="Arial"/>
                <w:b/>
                <w:sz w:val="24"/>
                <w:szCs w:val="24"/>
                <w:highlight w:val="none"/>
                <w:lang w:eastAsia="zh-CN"/>
              </w:rPr>
            </w:pPr>
          </w:p>
          <w:p w14:paraId="470DC224">
            <w:pPr>
              <w:jc w:val="center"/>
              <w:rPr>
                <w:rFonts w:hint="eastAsia" w:ascii="Arial" w:hAnsi="Arial" w:eastAsia="宋体" w:cs="Arial"/>
                <w:b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937" w:type="dxa"/>
            <w:tcBorders>
              <w:top w:val="single" w:color="auto" w:sz="4" w:space="0"/>
            </w:tcBorders>
            <w:vAlign w:val="center"/>
          </w:tcPr>
          <w:p w14:paraId="5507C715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none"/>
              </w:rPr>
              <w:t>类型</w:t>
            </w:r>
          </w:p>
        </w:tc>
        <w:tc>
          <w:tcPr>
            <w:tcW w:w="5893" w:type="dxa"/>
            <w:tcBorders>
              <w:top w:val="single" w:color="auto" w:sz="4" w:space="0"/>
            </w:tcBorders>
            <w:vAlign w:val="center"/>
          </w:tcPr>
          <w:p w14:paraId="5348F2C9">
            <w:pPr>
              <w:jc w:val="center"/>
              <w:rPr>
                <w:rFonts w:hint="eastAsia" w:ascii="Arial" w:hAnsi="Arial" w:eastAsia="宋体" w:cs="Arial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none"/>
              </w:rPr>
              <w:t>评分标准</w:t>
            </w:r>
          </w:p>
        </w:tc>
        <w:tc>
          <w:tcPr>
            <w:tcW w:w="1107" w:type="dxa"/>
            <w:tcBorders>
              <w:top w:val="single" w:color="auto" w:sz="4" w:space="0"/>
            </w:tcBorders>
            <w:vAlign w:val="center"/>
          </w:tcPr>
          <w:p w14:paraId="28FF0B5F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none"/>
              </w:rPr>
              <w:t>分值权重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vAlign w:val="center"/>
          </w:tcPr>
          <w:p w14:paraId="63C77963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none"/>
              </w:rPr>
              <w:t>说明</w:t>
            </w:r>
          </w:p>
        </w:tc>
      </w:tr>
      <w:tr w14:paraId="4F7E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vAlign w:val="center"/>
          </w:tcPr>
          <w:p w14:paraId="5B955806">
            <w:pPr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37" w:type="dxa"/>
            <w:vAlign w:val="center"/>
          </w:tcPr>
          <w:p w14:paraId="03FAE774">
            <w:pPr>
              <w:jc w:val="center"/>
              <w:rPr>
                <w:rFonts w:hint="default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服务方案内容</w:t>
            </w:r>
          </w:p>
        </w:tc>
        <w:tc>
          <w:tcPr>
            <w:tcW w:w="5893" w:type="dxa"/>
            <w:vAlign w:val="center"/>
          </w:tcPr>
          <w:p w14:paraId="2D719E4D">
            <w:pP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阐述项目的服务工作方案（含评估服务工作的整体规划、实施步骤或方案、具体评估方法），未提供不得分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：</w:t>
            </w:r>
          </w:p>
          <w:p w14:paraId="514B995E">
            <w:pP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一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档（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分）：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整体服务方案不完整，不符合项目要求实施后较难达到项目目的，可行性较差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。</w:t>
            </w:r>
          </w:p>
          <w:p w14:paraId="2007F380">
            <w:pP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档（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18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分）：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整体服务方案较为全面，基本符合项目要求，能够达到项目目的，具备较好的可行性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。</w:t>
            </w:r>
          </w:p>
          <w:p w14:paraId="0CEDD251">
            <w:pP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三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档（</w:t>
            </w:r>
            <w: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分）：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整体服务方案全面扎实，完全符合项目要求，能够有效达到项目目的，具有很好的可行性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1107" w:type="dxa"/>
            <w:vAlign w:val="center"/>
          </w:tcPr>
          <w:p w14:paraId="2DB44009">
            <w:pPr>
              <w:jc w:val="center"/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  <w:t>0-2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  <w:t>分</w:t>
            </w:r>
          </w:p>
        </w:tc>
        <w:tc>
          <w:tcPr>
            <w:tcW w:w="1344" w:type="dxa"/>
            <w:vAlign w:val="center"/>
          </w:tcPr>
          <w:p w14:paraId="13676B19">
            <w:pPr>
              <w:rPr>
                <w:rFonts w:hint="eastAsia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  <w:tr w14:paraId="0387F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vAlign w:val="center"/>
          </w:tcPr>
          <w:p w14:paraId="5845B252">
            <w:pPr>
              <w:jc w:val="center"/>
              <w:rPr>
                <w:rFonts w:hint="eastAsia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37" w:type="dxa"/>
            <w:vAlign w:val="center"/>
          </w:tcPr>
          <w:p w14:paraId="0151089E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服务项目重难点分析及应对措施</w:t>
            </w:r>
          </w:p>
        </w:tc>
        <w:tc>
          <w:tcPr>
            <w:tcW w:w="5893" w:type="dxa"/>
            <w:vAlign w:val="center"/>
          </w:tcPr>
          <w:p w14:paraId="0B254F6F">
            <w:pP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阐述项目的重、难点内容，并根据项目重、难点提出明确的应对措施，未提供不得分：</w:t>
            </w:r>
          </w:p>
          <w:p w14:paraId="2D006545">
            <w:pP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一档（10分）：对项目认识理解浅显，重难点分析不合理，对应措施可行性差。</w:t>
            </w:r>
          </w:p>
          <w:p w14:paraId="33F2E67D">
            <w:pP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二档（15分）：对项目认识理解较透彻，重难点分析较合理，对应措施可行性较强。</w:t>
            </w:r>
          </w:p>
          <w:p w14:paraId="6F69A1F3">
            <w:pPr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三档（20分）：对项目认识理解透彻，重难点分析合理，对应措施可行性强。</w:t>
            </w:r>
          </w:p>
        </w:tc>
        <w:tc>
          <w:tcPr>
            <w:tcW w:w="1107" w:type="dxa"/>
            <w:vAlign w:val="center"/>
          </w:tcPr>
          <w:p w14:paraId="7F57B1FD">
            <w:pPr>
              <w:jc w:val="center"/>
              <w:rPr>
                <w:rFonts w:hint="default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0-20分</w:t>
            </w:r>
          </w:p>
        </w:tc>
        <w:tc>
          <w:tcPr>
            <w:tcW w:w="1344" w:type="dxa"/>
            <w:vAlign w:val="center"/>
          </w:tcPr>
          <w:p w14:paraId="19E1A661">
            <w:pPr>
              <w:rPr>
                <w:rFonts w:ascii="Arial" w:hAnsi="Arial" w:cs="Arial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8583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vAlign w:val="center"/>
          </w:tcPr>
          <w:p w14:paraId="66AD529C">
            <w:pPr>
              <w:jc w:val="center"/>
              <w:rPr>
                <w:rFonts w:hint="eastAsia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37" w:type="dxa"/>
            <w:vAlign w:val="center"/>
          </w:tcPr>
          <w:p w14:paraId="3BF4C776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类似项目业绩</w:t>
            </w:r>
          </w:p>
        </w:tc>
        <w:tc>
          <w:tcPr>
            <w:tcW w:w="5893" w:type="dxa"/>
            <w:vAlign w:val="center"/>
          </w:tcPr>
          <w:p w14:paraId="7D0AE964">
            <w:pPr>
              <w:rPr>
                <w:rFonts w:hint="default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提供自2022年1月1日以来响应人承担过单位运营情况、财务报表、经济责任类似审计业绩，每1个业绩得5分，本项满分20分，不提供不得分。</w:t>
            </w:r>
          </w:p>
        </w:tc>
        <w:tc>
          <w:tcPr>
            <w:tcW w:w="1107" w:type="dxa"/>
            <w:vAlign w:val="center"/>
          </w:tcPr>
          <w:p w14:paraId="56E8BFA9">
            <w:pPr>
              <w:jc w:val="center"/>
              <w:rPr>
                <w:rFonts w:hint="default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0-20分</w:t>
            </w:r>
          </w:p>
        </w:tc>
        <w:tc>
          <w:tcPr>
            <w:tcW w:w="1344" w:type="dxa"/>
            <w:vAlign w:val="center"/>
          </w:tcPr>
          <w:p w14:paraId="06405794">
            <w:pPr>
              <w:rPr>
                <w:rFonts w:hint="default" w:ascii="Arial" w:hAnsi="Arial" w:eastAsia="宋体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提供合同或成交通知书等相关证明文件，复印件加盖公章。</w:t>
            </w:r>
          </w:p>
        </w:tc>
      </w:tr>
      <w:tr w14:paraId="66797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56" w:type="dxa"/>
            <w:vAlign w:val="center"/>
          </w:tcPr>
          <w:p w14:paraId="60AA14FF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37" w:type="dxa"/>
            <w:vAlign w:val="center"/>
          </w:tcPr>
          <w:p w14:paraId="0EB0A987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项目组成员</w:t>
            </w:r>
          </w:p>
        </w:tc>
        <w:tc>
          <w:tcPr>
            <w:tcW w:w="5893" w:type="dxa"/>
            <w:vAlign w:val="center"/>
          </w:tcPr>
          <w:p w14:paraId="4D6F195E">
            <w:pPr>
              <w:numPr>
                <w:ilvl w:val="0"/>
                <w:numId w:val="1"/>
              </w:numPr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项目负责人：具备高级职称，且有3次相关运营情况、财务报表、经济责任审计服务的得6分；具备高级职称，且有2次相关运营情况、财务报表、经济责任审计服务的得3分；未配备高级职称的不得分（提供审计报告的相关成果证明文件关键页并加盖公章）。</w:t>
            </w:r>
          </w:p>
          <w:p w14:paraId="5DF7CADE">
            <w:pPr>
              <w:numPr>
                <w:ilvl w:val="0"/>
                <w:numId w:val="1"/>
              </w:numPr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项目其他成员具备高级职称的，每人得2分，本项最高得4分。</w:t>
            </w:r>
          </w:p>
          <w:p w14:paraId="1F3C8B90">
            <w:pPr>
              <w:numPr>
                <w:ilvl w:val="0"/>
                <w:numId w:val="1"/>
              </w:numPr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项目其他成员具备中级及以上职称的，每人得1分，本项最高得2分。</w:t>
            </w:r>
          </w:p>
          <w:p w14:paraId="4D13C070">
            <w:pPr>
              <w:numPr>
                <w:ilvl w:val="0"/>
                <w:numId w:val="1"/>
              </w:numPr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除上述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人员外，每增加一人得1分，本项最高3分。</w:t>
            </w:r>
          </w:p>
        </w:tc>
        <w:tc>
          <w:tcPr>
            <w:tcW w:w="1107" w:type="dxa"/>
            <w:vAlign w:val="center"/>
          </w:tcPr>
          <w:p w14:paraId="77D88568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0-15分</w:t>
            </w:r>
          </w:p>
        </w:tc>
        <w:tc>
          <w:tcPr>
            <w:tcW w:w="1344" w:type="dxa"/>
            <w:vAlign w:val="center"/>
          </w:tcPr>
          <w:p w14:paraId="5155CB76">
            <w:pPr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提供职称证书和在本单位（或分支机构）缴纳相应人员的社保证明材料（最近半年内</w:t>
            </w:r>
            <w:r>
              <w:rPr>
                <w:rFonts w:ascii="Arial" w:hAnsi="Arial" w:cs="Arial"/>
                <w:snapToGrid w:val="0"/>
                <w:color w:val="000000"/>
                <w:kern w:val="0"/>
                <w:sz w:val="24"/>
                <w:szCs w:val="24"/>
              </w:rPr>
              <w:t>的任意连续3个月</w:t>
            </w: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），复印件加盖公章。</w:t>
            </w:r>
          </w:p>
        </w:tc>
      </w:tr>
      <w:tr w14:paraId="3004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6" w:type="dxa"/>
            <w:vAlign w:val="center"/>
          </w:tcPr>
          <w:p w14:paraId="5DCFA420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37" w:type="dxa"/>
            <w:vAlign w:val="center"/>
          </w:tcPr>
          <w:p w14:paraId="1FE5B8B0">
            <w:pPr>
              <w:jc w:val="center"/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报价</w:t>
            </w:r>
          </w:p>
          <w:p w14:paraId="112C75DD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得分</w:t>
            </w:r>
          </w:p>
        </w:tc>
        <w:tc>
          <w:tcPr>
            <w:tcW w:w="5893" w:type="dxa"/>
            <w:vAlign w:val="center"/>
          </w:tcPr>
          <w:p w14:paraId="4CEF47AE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价格分采用低价优先法计算，即满足采购需求且响应价格最低的报价为评审基准价，其价格分为满分。其他响应人的价格分统一按照下列公式计算：报价得分=（评标基准价/某响应人报价）×分值权重。</w:t>
            </w:r>
          </w:p>
        </w:tc>
        <w:tc>
          <w:tcPr>
            <w:tcW w:w="1107" w:type="dxa"/>
            <w:vAlign w:val="center"/>
          </w:tcPr>
          <w:p w14:paraId="1F73D7DC">
            <w:pPr>
              <w:jc w:val="center"/>
              <w:rPr>
                <w:rFonts w:hint="default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  <w:t>0-20分</w:t>
            </w:r>
          </w:p>
        </w:tc>
        <w:tc>
          <w:tcPr>
            <w:tcW w:w="1344" w:type="dxa"/>
            <w:vAlign w:val="center"/>
          </w:tcPr>
          <w:p w14:paraId="4E46F821">
            <w:pPr>
              <w:rPr>
                <w:rFonts w:hint="eastAsia" w:ascii="Arial" w:hAnsi="Arial" w:cs="Arial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5EDDC10D"/>
    <w:sectPr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1D7051"/>
    <w:multiLevelType w:val="singleLevel"/>
    <w:tmpl w:val="781D705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D43EE"/>
    <w:rsid w:val="131E3139"/>
    <w:rsid w:val="21E569A7"/>
    <w:rsid w:val="2A386971"/>
    <w:rsid w:val="3B262D6D"/>
    <w:rsid w:val="59DF5187"/>
    <w:rsid w:val="6FB87AD8"/>
    <w:rsid w:val="7A9B2D4F"/>
    <w:rsid w:val="7F36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841</Words>
  <Characters>869</Characters>
  <Lines>0</Lines>
  <Paragraphs>0</Paragraphs>
  <TotalTime>27</TotalTime>
  <ScaleCrop>false</ScaleCrop>
  <LinksUpToDate>false</LinksUpToDate>
  <CharactersWithSpaces>870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2025-04-14T05:30:00Z</dcterms:created>
  <dc:creator>Administrator</dc:creator>
  <cp:lastModifiedBy>LRM</cp:lastModifiedBy>
  <dcterms:modified xsi:type="dcterms:W3CDTF">2026-04-14T00:46:55Z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eyJoZGlkIjoiNTYzNDExZGNlYTkwOGUwYzc0ZmIwOTI5NGYyOGEwYjgiLCJ1c2VySWQiOiIxMDU3NDIyMjU2In0=</vt:lpwstr>
  </property>
  <property fmtid="{D5CDD505-2E9C-101B-9397-08002B2CF9AE}" pid="4" name="ICV">
    <vt:lpwstr>64C4337E98B84421A2F8043575800F84_13</vt:lpwstr>
  </property>
</Properties>
</file>