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8FAE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粮油类产品采购及配送服务项目采购需求</w:t>
      </w:r>
    </w:p>
    <w:p w14:paraId="7CB4980A">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采购品目</w:t>
      </w:r>
    </w:p>
    <w:tbl>
      <w:tblPr>
        <w:tblStyle w:val="6"/>
        <w:tblW w:w="10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920"/>
        <w:gridCol w:w="2913"/>
        <w:gridCol w:w="1170"/>
        <w:gridCol w:w="732"/>
        <w:gridCol w:w="924"/>
        <w:gridCol w:w="1188"/>
        <w:gridCol w:w="1620"/>
      </w:tblGrid>
      <w:tr w14:paraId="6D2A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092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4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中山大学附属第一医院广西医院粮油类产品采购及配送服务需求报价表</w:t>
            </w:r>
          </w:p>
        </w:tc>
      </w:tr>
      <w:tr w14:paraId="2A1F3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092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CD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供应商单位名称（加盖公章）：</w:t>
            </w:r>
          </w:p>
        </w:tc>
      </w:tr>
      <w:tr w14:paraId="768E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7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1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2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参考品牌</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2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4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5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响应品牌</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E5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供货价</w:t>
            </w:r>
          </w:p>
          <w:p w14:paraId="5B8BA89B">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6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统一下浮系数报价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（最终单价报价=各产品供货价×（1-下浮系数））</w:t>
            </w:r>
          </w:p>
        </w:tc>
      </w:tr>
      <w:tr w14:paraId="550E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68B82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20" w:type="dxa"/>
            <w:tcBorders>
              <w:top w:val="nil"/>
              <w:left w:val="single" w:color="000000" w:sz="4" w:space="0"/>
              <w:bottom w:val="single" w:color="000000" w:sz="4" w:space="0"/>
              <w:right w:val="single" w:color="000000" w:sz="4" w:space="0"/>
            </w:tcBorders>
            <w:shd w:val="clear" w:color="auto" w:fill="auto"/>
            <w:vAlign w:val="center"/>
          </w:tcPr>
          <w:p w14:paraId="27DB1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九七香</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4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穗岁乐</w:t>
            </w:r>
            <w:r>
              <w:rPr>
                <w:rFonts w:hint="eastAsia" w:ascii="宋体" w:hAnsi="宋体" w:eastAsia="宋体" w:cs="宋体"/>
                <w:i w:val="0"/>
                <w:iCs w:val="0"/>
                <w:color w:val="000000"/>
                <w:kern w:val="0"/>
                <w:sz w:val="21"/>
                <w:szCs w:val="21"/>
                <w:u w:val="none"/>
                <w:lang w:val="en-US" w:eastAsia="zh-CN" w:bidi="ar"/>
              </w:rPr>
              <w:t>/</w:t>
            </w:r>
            <w:r>
              <w:rPr>
                <w:rStyle w:val="10"/>
                <w:lang w:val="en-US" w:eastAsia="zh-CN" w:bidi="ar"/>
              </w:rPr>
              <w:t>福珍</w:t>
            </w:r>
            <w:r>
              <w:rPr>
                <w:rFonts w:hint="eastAsia" w:ascii="宋体" w:hAnsi="宋体" w:eastAsia="宋体" w:cs="宋体"/>
                <w:i w:val="0"/>
                <w:iCs w:val="0"/>
                <w:color w:val="000000"/>
                <w:kern w:val="0"/>
                <w:sz w:val="21"/>
                <w:szCs w:val="21"/>
                <w:u w:val="none"/>
                <w:lang w:val="en-US" w:eastAsia="zh-CN" w:bidi="ar"/>
              </w:rPr>
              <w:t>/</w:t>
            </w:r>
            <w:r>
              <w:rPr>
                <w:rStyle w:val="10"/>
                <w:lang w:val="en-US" w:eastAsia="zh-CN" w:bidi="ar"/>
              </w:rPr>
              <w:t>北大荒</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7EB64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5kg/袋</w:t>
            </w:r>
          </w:p>
        </w:tc>
        <w:tc>
          <w:tcPr>
            <w:tcW w:w="732" w:type="dxa"/>
            <w:tcBorders>
              <w:top w:val="nil"/>
              <w:left w:val="single" w:color="000000" w:sz="4" w:space="0"/>
              <w:bottom w:val="single" w:color="000000" w:sz="4" w:space="0"/>
              <w:right w:val="single" w:color="000000" w:sz="4" w:space="0"/>
            </w:tcBorders>
            <w:shd w:val="clear" w:color="auto" w:fill="auto"/>
            <w:vAlign w:val="center"/>
          </w:tcPr>
          <w:p w14:paraId="299A6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924" w:type="dxa"/>
            <w:tcBorders>
              <w:top w:val="nil"/>
              <w:left w:val="single" w:color="000000" w:sz="4" w:space="0"/>
              <w:bottom w:val="single" w:color="000000" w:sz="4" w:space="0"/>
              <w:right w:val="single" w:color="000000" w:sz="4" w:space="0"/>
            </w:tcBorders>
            <w:shd w:val="clear" w:color="auto" w:fill="auto"/>
            <w:vAlign w:val="center"/>
          </w:tcPr>
          <w:p w14:paraId="46FA5F17">
            <w:pPr>
              <w:jc w:val="center"/>
              <w:rPr>
                <w:rFonts w:hint="eastAsia" w:ascii="宋体" w:hAnsi="宋体" w:eastAsia="宋体" w:cs="宋体"/>
                <w:i w:val="0"/>
                <w:iCs w:val="0"/>
                <w:color w:val="000000"/>
                <w:sz w:val="24"/>
                <w:szCs w:val="24"/>
                <w:u w:val="none"/>
              </w:rPr>
            </w:pPr>
          </w:p>
        </w:tc>
        <w:tc>
          <w:tcPr>
            <w:tcW w:w="1188" w:type="dxa"/>
            <w:tcBorders>
              <w:top w:val="nil"/>
              <w:left w:val="single" w:color="000000" w:sz="4" w:space="0"/>
              <w:bottom w:val="single" w:color="000000" w:sz="4" w:space="0"/>
              <w:right w:val="single" w:color="000000" w:sz="4" w:space="0"/>
            </w:tcBorders>
            <w:shd w:val="clear" w:color="auto" w:fill="auto"/>
            <w:noWrap/>
            <w:vAlign w:val="center"/>
          </w:tcPr>
          <w:p w14:paraId="4F8B0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43.00</w:t>
            </w:r>
          </w:p>
        </w:tc>
        <w:tc>
          <w:tcPr>
            <w:tcW w:w="1620" w:type="dxa"/>
            <w:vMerge w:val="restart"/>
            <w:tcBorders>
              <w:top w:val="nil"/>
              <w:left w:val="single" w:color="000000" w:sz="4" w:space="0"/>
              <w:bottom w:val="single" w:color="000000" w:sz="4" w:space="0"/>
              <w:right w:val="single" w:color="000000" w:sz="4" w:space="0"/>
            </w:tcBorders>
            <w:shd w:val="clear" w:color="auto" w:fill="auto"/>
            <w:vAlign w:val="center"/>
          </w:tcPr>
          <w:p w14:paraId="2B9E9CA5">
            <w:pPr>
              <w:jc w:val="center"/>
              <w:rPr>
                <w:rFonts w:hint="default" w:ascii="宋体" w:hAnsi="宋体" w:eastAsia="宋体" w:cs="宋体"/>
                <w:i w:val="0"/>
                <w:iCs w:val="0"/>
                <w:color w:val="000000"/>
                <w:sz w:val="24"/>
                <w:szCs w:val="24"/>
                <w:u w:val="single"/>
                <w:lang w:val="en-US" w:eastAsia="zh-CN"/>
              </w:rPr>
            </w:pPr>
            <w:r>
              <w:rPr>
                <w:rFonts w:hint="eastAsia" w:ascii="宋体" w:hAnsi="宋体" w:eastAsia="宋体" w:cs="宋体"/>
                <w:i w:val="0"/>
                <w:iCs w:val="0"/>
                <w:color w:val="000000"/>
                <w:sz w:val="24"/>
                <w:szCs w:val="24"/>
                <w:u w:val="none"/>
                <w:lang w:val="en-US" w:eastAsia="zh-CN"/>
              </w:rPr>
              <w:t>统一下浮系数为</w:t>
            </w:r>
            <w:r>
              <w:rPr>
                <w:rFonts w:hint="eastAsia" w:ascii="宋体" w:hAnsi="宋体" w:eastAsia="宋体" w:cs="宋体"/>
                <w:i w:val="0"/>
                <w:iCs w:val="0"/>
                <w:color w:val="000000"/>
                <w:sz w:val="24"/>
                <w:szCs w:val="24"/>
                <w:u w:val="single"/>
                <w:lang w:val="en-US" w:eastAsia="zh-CN"/>
              </w:rPr>
              <w:t xml:space="preserve">   %</w:t>
            </w:r>
          </w:p>
        </w:tc>
      </w:tr>
      <w:tr w14:paraId="260C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F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A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象牙香粘米</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B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穗岁乐</w:t>
            </w:r>
            <w:r>
              <w:rPr>
                <w:rFonts w:hint="eastAsia" w:ascii="宋体" w:hAnsi="宋体" w:eastAsia="宋体" w:cs="宋体"/>
                <w:i w:val="0"/>
                <w:iCs w:val="0"/>
                <w:color w:val="000000"/>
                <w:kern w:val="0"/>
                <w:sz w:val="21"/>
                <w:szCs w:val="21"/>
                <w:u w:val="none"/>
                <w:lang w:val="en-US" w:eastAsia="zh-CN" w:bidi="ar"/>
              </w:rPr>
              <w:t>/</w:t>
            </w:r>
            <w:r>
              <w:rPr>
                <w:rStyle w:val="10"/>
                <w:lang w:val="en-US" w:eastAsia="zh-CN" w:bidi="ar"/>
              </w:rPr>
              <w:t>福珍</w:t>
            </w:r>
            <w:r>
              <w:rPr>
                <w:rFonts w:hint="eastAsia" w:ascii="宋体" w:hAnsi="宋体" w:eastAsia="宋体" w:cs="宋体"/>
                <w:i w:val="0"/>
                <w:iCs w:val="0"/>
                <w:color w:val="000000"/>
                <w:kern w:val="0"/>
                <w:sz w:val="21"/>
                <w:szCs w:val="21"/>
                <w:u w:val="none"/>
                <w:lang w:val="en-US" w:eastAsia="zh-CN" w:bidi="ar"/>
              </w:rPr>
              <w:t>/</w:t>
            </w:r>
            <w:r>
              <w:rPr>
                <w:rStyle w:val="10"/>
                <w:lang w:val="en-US" w:eastAsia="zh-CN" w:bidi="ar"/>
              </w:rPr>
              <w:t>国泰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E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5kg/袋</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E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459D">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7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07480E37">
            <w:pPr>
              <w:jc w:val="center"/>
              <w:rPr>
                <w:rFonts w:hint="eastAsia" w:ascii="宋体" w:hAnsi="宋体" w:eastAsia="宋体" w:cs="宋体"/>
                <w:i w:val="0"/>
                <w:iCs w:val="0"/>
                <w:color w:val="000000"/>
                <w:sz w:val="24"/>
                <w:szCs w:val="24"/>
                <w:u w:val="none"/>
              </w:rPr>
            </w:pPr>
          </w:p>
        </w:tc>
      </w:tr>
      <w:tr w14:paraId="35AF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780D6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6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香雪油粘米</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B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穗岁乐</w:t>
            </w:r>
            <w:r>
              <w:rPr>
                <w:rFonts w:hint="eastAsia" w:ascii="宋体" w:hAnsi="宋体" w:eastAsia="宋体" w:cs="宋体"/>
                <w:i w:val="0"/>
                <w:iCs w:val="0"/>
                <w:color w:val="000000"/>
                <w:kern w:val="0"/>
                <w:sz w:val="21"/>
                <w:szCs w:val="21"/>
                <w:u w:val="none"/>
                <w:lang w:val="en-US" w:eastAsia="zh-CN" w:bidi="ar"/>
              </w:rPr>
              <w:t>/</w:t>
            </w:r>
            <w:r>
              <w:rPr>
                <w:rStyle w:val="10"/>
                <w:lang w:val="en-US" w:eastAsia="zh-CN" w:bidi="ar"/>
              </w:rPr>
              <w:t>国泰</w:t>
            </w:r>
            <w:r>
              <w:rPr>
                <w:rFonts w:hint="eastAsia" w:ascii="宋体" w:hAnsi="宋体" w:eastAsia="宋体" w:cs="宋体"/>
                <w:i w:val="0"/>
                <w:iCs w:val="0"/>
                <w:color w:val="000000"/>
                <w:kern w:val="0"/>
                <w:sz w:val="21"/>
                <w:szCs w:val="21"/>
                <w:u w:val="none"/>
                <w:lang w:val="en-US" w:eastAsia="zh-CN" w:bidi="ar"/>
              </w:rPr>
              <w:t>/</w:t>
            </w:r>
            <w:r>
              <w:rPr>
                <w:rStyle w:val="10"/>
                <w:lang w:val="en-US" w:eastAsia="zh-CN" w:bidi="ar"/>
              </w:rPr>
              <w:t>十月稻田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0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5kg/袋</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F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C74C">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8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0EB100E7">
            <w:pPr>
              <w:jc w:val="center"/>
              <w:rPr>
                <w:rFonts w:hint="eastAsia" w:ascii="宋体" w:hAnsi="宋体" w:eastAsia="宋体" w:cs="宋体"/>
                <w:i w:val="0"/>
                <w:iCs w:val="0"/>
                <w:color w:val="000000"/>
                <w:sz w:val="24"/>
                <w:szCs w:val="24"/>
                <w:u w:val="none"/>
              </w:rPr>
            </w:pPr>
          </w:p>
        </w:tc>
      </w:tr>
      <w:tr w14:paraId="0998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C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A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茉莉清香米</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1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穗岁乐</w:t>
            </w:r>
            <w:r>
              <w:rPr>
                <w:rFonts w:hint="eastAsia" w:ascii="宋体" w:hAnsi="宋体" w:eastAsia="宋体" w:cs="宋体"/>
                <w:i w:val="0"/>
                <w:iCs w:val="0"/>
                <w:color w:val="000000"/>
                <w:kern w:val="0"/>
                <w:sz w:val="21"/>
                <w:szCs w:val="21"/>
                <w:u w:val="none"/>
                <w:lang w:val="en-US" w:eastAsia="zh-CN" w:bidi="ar"/>
              </w:rPr>
              <w:t>/</w:t>
            </w:r>
            <w:r>
              <w:rPr>
                <w:rStyle w:val="10"/>
                <w:lang w:val="en-US" w:eastAsia="zh-CN" w:bidi="ar"/>
              </w:rPr>
              <w:t>国泰</w:t>
            </w:r>
            <w:r>
              <w:rPr>
                <w:rFonts w:hint="eastAsia" w:ascii="宋体" w:hAnsi="宋体" w:eastAsia="宋体" w:cs="宋体"/>
                <w:i w:val="0"/>
                <w:iCs w:val="0"/>
                <w:color w:val="000000"/>
                <w:kern w:val="0"/>
                <w:sz w:val="21"/>
                <w:szCs w:val="21"/>
                <w:u w:val="none"/>
                <w:lang w:val="en-US" w:eastAsia="zh-CN" w:bidi="ar"/>
              </w:rPr>
              <w:t>/</w:t>
            </w:r>
            <w:r>
              <w:rPr>
                <w:rStyle w:val="10"/>
                <w:lang w:val="en-US" w:eastAsia="zh-CN" w:bidi="ar"/>
              </w:rPr>
              <w:t>十月稻田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B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5kg/袋</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1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05B1">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B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24C71E63">
            <w:pPr>
              <w:jc w:val="center"/>
              <w:rPr>
                <w:rFonts w:hint="eastAsia" w:ascii="宋体" w:hAnsi="宋体" w:eastAsia="宋体" w:cs="宋体"/>
                <w:i w:val="0"/>
                <w:iCs w:val="0"/>
                <w:color w:val="000000"/>
                <w:sz w:val="24"/>
                <w:szCs w:val="24"/>
                <w:u w:val="none"/>
              </w:rPr>
            </w:pPr>
          </w:p>
        </w:tc>
      </w:tr>
      <w:tr w14:paraId="6C76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5F242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4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五常大米</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B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粮馨/十月稻田/柴火大院</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E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5kg/袋</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4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C921">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B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3509C50A">
            <w:pPr>
              <w:jc w:val="center"/>
              <w:rPr>
                <w:rFonts w:hint="eastAsia" w:ascii="宋体" w:hAnsi="宋体" w:eastAsia="宋体" w:cs="宋体"/>
                <w:i w:val="0"/>
                <w:iCs w:val="0"/>
                <w:color w:val="000000"/>
                <w:sz w:val="24"/>
                <w:szCs w:val="24"/>
                <w:u w:val="none"/>
              </w:rPr>
            </w:pPr>
          </w:p>
        </w:tc>
      </w:tr>
      <w:tr w14:paraId="04603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E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7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五常大米</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F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龙江明珠/十月稻田/柴火大院</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2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5kg/袋</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C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6463">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AC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179A20D5">
            <w:pPr>
              <w:jc w:val="center"/>
              <w:rPr>
                <w:rFonts w:hint="eastAsia" w:ascii="宋体" w:hAnsi="宋体" w:eastAsia="宋体" w:cs="宋体"/>
                <w:i w:val="0"/>
                <w:iCs w:val="0"/>
                <w:color w:val="000000"/>
                <w:sz w:val="24"/>
                <w:szCs w:val="24"/>
                <w:u w:val="none"/>
              </w:rPr>
            </w:pPr>
          </w:p>
        </w:tc>
      </w:tr>
      <w:tr w14:paraId="4546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7F46E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66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香丝苗米</w:t>
            </w:r>
          </w:p>
        </w:tc>
        <w:tc>
          <w:tcPr>
            <w:tcW w:w="2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D9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象米王/福珍/国泰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D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5kg/袋</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3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1036">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14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2D214551">
            <w:pPr>
              <w:jc w:val="center"/>
              <w:rPr>
                <w:rFonts w:hint="eastAsia" w:ascii="宋体" w:hAnsi="宋体" w:eastAsia="宋体" w:cs="宋体"/>
                <w:i w:val="0"/>
                <w:iCs w:val="0"/>
                <w:color w:val="000000"/>
                <w:sz w:val="24"/>
                <w:szCs w:val="24"/>
                <w:u w:val="none"/>
              </w:rPr>
            </w:pPr>
          </w:p>
        </w:tc>
      </w:tr>
      <w:tr w14:paraId="1D28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5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7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压榨一级花生油</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5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鲁花/金龙鱼/胡姬花</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5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A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5CC9">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C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24D08493">
            <w:pPr>
              <w:jc w:val="center"/>
              <w:rPr>
                <w:rFonts w:hint="eastAsia" w:ascii="宋体" w:hAnsi="宋体" w:eastAsia="宋体" w:cs="宋体"/>
                <w:i w:val="0"/>
                <w:iCs w:val="0"/>
                <w:color w:val="000000"/>
                <w:sz w:val="24"/>
                <w:szCs w:val="24"/>
                <w:u w:val="none"/>
              </w:rPr>
            </w:pPr>
          </w:p>
        </w:tc>
      </w:tr>
      <w:tr w14:paraId="6E23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2AD5E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E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头道醇香花生油</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7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君颂/鲁花/胡姬花</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C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F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8A9A">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D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3FE57A49">
            <w:pPr>
              <w:jc w:val="center"/>
              <w:rPr>
                <w:rFonts w:hint="eastAsia" w:ascii="宋体" w:hAnsi="宋体" w:eastAsia="宋体" w:cs="宋体"/>
                <w:i w:val="0"/>
                <w:iCs w:val="0"/>
                <w:color w:val="000000"/>
                <w:sz w:val="24"/>
                <w:szCs w:val="24"/>
                <w:u w:val="none"/>
              </w:rPr>
            </w:pPr>
          </w:p>
        </w:tc>
      </w:tr>
      <w:tr w14:paraId="6278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2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6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压榨一级花生油</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2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万田/鲁花/胡姬花</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2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1.8L</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4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B88D">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8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6559E2DC">
            <w:pPr>
              <w:jc w:val="center"/>
              <w:rPr>
                <w:rFonts w:hint="eastAsia" w:ascii="宋体" w:hAnsi="宋体" w:eastAsia="宋体" w:cs="宋体"/>
                <w:i w:val="0"/>
                <w:iCs w:val="0"/>
                <w:color w:val="000000"/>
                <w:sz w:val="24"/>
                <w:szCs w:val="24"/>
                <w:u w:val="none"/>
              </w:rPr>
            </w:pPr>
          </w:p>
        </w:tc>
      </w:tr>
      <w:tr w14:paraId="3FEFD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5A400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F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压榨一级花生油</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E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万田/鲁花/胡姬花</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0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4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1D38">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0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007DCA08">
            <w:pPr>
              <w:jc w:val="center"/>
              <w:rPr>
                <w:rFonts w:hint="eastAsia" w:ascii="宋体" w:hAnsi="宋体" w:eastAsia="宋体" w:cs="宋体"/>
                <w:i w:val="0"/>
                <w:iCs w:val="0"/>
                <w:color w:val="000000"/>
                <w:sz w:val="24"/>
                <w:szCs w:val="24"/>
                <w:u w:val="none"/>
              </w:rPr>
            </w:pPr>
          </w:p>
        </w:tc>
      </w:tr>
      <w:tr w14:paraId="5C8B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1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F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特香花生油</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3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金龙鱼鲁花/胡姬花</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D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2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B090">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5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46BB68D1">
            <w:pPr>
              <w:jc w:val="center"/>
              <w:rPr>
                <w:rFonts w:hint="eastAsia" w:ascii="宋体" w:hAnsi="宋体" w:eastAsia="宋体" w:cs="宋体"/>
                <w:i w:val="0"/>
                <w:iCs w:val="0"/>
                <w:color w:val="000000"/>
                <w:sz w:val="24"/>
                <w:szCs w:val="24"/>
                <w:u w:val="none"/>
              </w:rPr>
            </w:pPr>
          </w:p>
        </w:tc>
      </w:tr>
      <w:tr w14:paraId="642E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18D22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8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风味土榨花生油</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D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胡姬花/万田/鲁花</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8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0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E108">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A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5ACC0675">
            <w:pPr>
              <w:jc w:val="center"/>
              <w:rPr>
                <w:rFonts w:hint="eastAsia" w:ascii="宋体" w:hAnsi="宋体" w:eastAsia="宋体" w:cs="宋体"/>
                <w:i w:val="0"/>
                <w:iCs w:val="0"/>
                <w:color w:val="000000"/>
                <w:sz w:val="24"/>
                <w:szCs w:val="24"/>
                <w:u w:val="none"/>
              </w:rPr>
            </w:pPr>
          </w:p>
        </w:tc>
      </w:tr>
      <w:tr w14:paraId="7D58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7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E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玉米油</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6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万田/鲁花/胡姬花</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E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E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7DD4">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D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6052D9BC">
            <w:pPr>
              <w:jc w:val="center"/>
              <w:rPr>
                <w:rFonts w:hint="eastAsia" w:ascii="宋体" w:hAnsi="宋体" w:eastAsia="宋体" w:cs="宋体"/>
                <w:i w:val="0"/>
                <w:iCs w:val="0"/>
                <w:color w:val="000000"/>
                <w:sz w:val="24"/>
                <w:szCs w:val="24"/>
                <w:u w:val="none"/>
              </w:rPr>
            </w:pPr>
          </w:p>
        </w:tc>
      </w:tr>
      <w:tr w14:paraId="34E3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472ED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8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菜籽油</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E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万田/鲁花/胡姬花</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2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A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FD47">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B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003CC4AF">
            <w:pPr>
              <w:jc w:val="center"/>
              <w:rPr>
                <w:rFonts w:hint="eastAsia" w:ascii="宋体" w:hAnsi="宋体" w:eastAsia="宋体" w:cs="宋体"/>
                <w:i w:val="0"/>
                <w:iCs w:val="0"/>
                <w:color w:val="000000"/>
                <w:sz w:val="24"/>
                <w:szCs w:val="24"/>
                <w:u w:val="none"/>
              </w:rPr>
            </w:pPr>
          </w:p>
        </w:tc>
      </w:tr>
      <w:tr w14:paraId="4258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B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2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调和油</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7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万田/鲁花/胡姬花</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9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20L</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A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289F">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0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7E1F2B3E">
            <w:pPr>
              <w:jc w:val="center"/>
              <w:rPr>
                <w:rFonts w:hint="eastAsia" w:ascii="宋体" w:hAnsi="宋体" w:eastAsia="宋体" w:cs="宋体"/>
                <w:i w:val="0"/>
                <w:iCs w:val="0"/>
                <w:color w:val="000000"/>
                <w:sz w:val="24"/>
                <w:szCs w:val="24"/>
                <w:u w:val="none"/>
              </w:rPr>
            </w:pPr>
          </w:p>
        </w:tc>
      </w:tr>
      <w:tr w14:paraId="154C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7F8F9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4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压榨一级花生油</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4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万田/鲁花/胡姬花</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1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10L</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2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8F7C">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7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43311000">
            <w:pPr>
              <w:jc w:val="center"/>
              <w:rPr>
                <w:rFonts w:hint="eastAsia" w:ascii="宋体" w:hAnsi="宋体" w:eastAsia="宋体" w:cs="宋体"/>
                <w:i w:val="0"/>
                <w:iCs w:val="0"/>
                <w:color w:val="000000"/>
                <w:sz w:val="24"/>
                <w:szCs w:val="24"/>
                <w:u w:val="none"/>
              </w:rPr>
            </w:pPr>
          </w:p>
        </w:tc>
      </w:tr>
      <w:tr w14:paraId="1400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1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0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荣耀高筋挂面</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F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君颂/金沙河/克明面业</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3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400g/扎</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C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8418">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C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21DA46C1">
            <w:pPr>
              <w:jc w:val="center"/>
              <w:rPr>
                <w:rFonts w:hint="eastAsia" w:ascii="宋体" w:hAnsi="宋体" w:eastAsia="宋体" w:cs="宋体"/>
                <w:i w:val="0"/>
                <w:iCs w:val="0"/>
                <w:color w:val="000000"/>
                <w:sz w:val="24"/>
                <w:szCs w:val="24"/>
                <w:u w:val="none"/>
              </w:rPr>
            </w:pPr>
          </w:p>
        </w:tc>
      </w:tr>
      <w:tr w14:paraId="63EA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4C518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8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精制挂面</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4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万田/金沙河/克明面业</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C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1000g/扎</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9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DC31">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1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06779BA7">
            <w:pPr>
              <w:jc w:val="center"/>
              <w:rPr>
                <w:rFonts w:hint="eastAsia" w:ascii="宋体" w:hAnsi="宋体" w:eastAsia="宋体" w:cs="宋体"/>
                <w:i w:val="0"/>
                <w:iCs w:val="0"/>
                <w:color w:val="000000"/>
                <w:sz w:val="24"/>
                <w:szCs w:val="24"/>
                <w:u w:val="none"/>
              </w:rPr>
            </w:pPr>
          </w:p>
        </w:tc>
      </w:tr>
      <w:tr w14:paraId="48AE4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2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E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无盐桑叶面</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0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壮歌/老村长/野马寨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3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800g</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8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A0B9">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2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36718D2B">
            <w:pPr>
              <w:jc w:val="center"/>
              <w:rPr>
                <w:rFonts w:hint="eastAsia" w:ascii="宋体" w:hAnsi="宋体" w:eastAsia="宋体" w:cs="宋体"/>
                <w:i w:val="0"/>
                <w:iCs w:val="0"/>
                <w:color w:val="000000"/>
                <w:sz w:val="24"/>
                <w:szCs w:val="24"/>
                <w:u w:val="none"/>
              </w:rPr>
            </w:pPr>
          </w:p>
        </w:tc>
      </w:tr>
      <w:tr w14:paraId="2A70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6F03F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9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无盐葛根面</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5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壮歌/老村长/野马寨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8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800g</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0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2EFD">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E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2AA970CD">
            <w:pPr>
              <w:jc w:val="center"/>
              <w:rPr>
                <w:rFonts w:hint="eastAsia" w:ascii="宋体" w:hAnsi="宋体" w:eastAsia="宋体" w:cs="宋体"/>
                <w:i w:val="0"/>
                <w:iCs w:val="0"/>
                <w:color w:val="000000"/>
                <w:sz w:val="24"/>
                <w:szCs w:val="24"/>
                <w:u w:val="none"/>
              </w:rPr>
            </w:pPr>
          </w:p>
        </w:tc>
      </w:tr>
      <w:tr w14:paraId="37573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A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5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无盐牛大力面</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2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壮歌/老村长/野马寨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7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800g</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A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57E6">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2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511ADD24">
            <w:pPr>
              <w:jc w:val="center"/>
              <w:rPr>
                <w:rFonts w:hint="eastAsia" w:ascii="宋体" w:hAnsi="宋体" w:eastAsia="宋体" w:cs="宋体"/>
                <w:i w:val="0"/>
                <w:iCs w:val="0"/>
                <w:color w:val="000000"/>
                <w:sz w:val="24"/>
                <w:szCs w:val="24"/>
                <w:u w:val="none"/>
              </w:rPr>
            </w:pPr>
          </w:p>
        </w:tc>
      </w:tr>
      <w:tr w14:paraId="784E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3D064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3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无盐紫玉淮山面</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8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壮歌/老村长/野马寨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B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800g</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4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0B54">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0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60C54121">
            <w:pPr>
              <w:jc w:val="center"/>
              <w:rPr>
                <w:rFonts w:hint="eastAsia" w:ascii="宋体" w:hAnsi="宋体" w:eastAsia="宋体" w:cs="宋体"/>
                <w:i w:val="0"/>
                <w:iCs w:val="0"/>
                <w:color w:val="000000"/>
                <w:sz w:val="24"/>
                <w:szCs w:val="24"/>
                <w:u w:val="none"/>
              </w:rPr>
            </w:pPr>
          </w:p>
        </w:tc>
      </w:tr>
      <w:tr w14:paraId="36FC6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3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D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澳麦原味面</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2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壮歌/老村长/野马寨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7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1000g</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B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6372">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4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7CEB4761">
            <w:pPr>
              <w:jc w:val="center"/>
              <w:rPr>
                <w:rFonts w:hint="eastAsia" w:ascii="宋体" w:hAnsi="宋体" w:eastAsia="宋体" w:cs="宋体"/>
                <w:i w:val="0"/>
                <w:iCs w:val="0"/>
                <w:color w:val="000000"/>
                <w:sz w:val="24"/>
                <w:szCs w:val="24"/>
                <w:u w:val="none"/>
              </w:rPr>
            </w:pPr>
          </w:p>
        </w:tc>
      </w:tr>
      <w:tr w14:paraId="3436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4C286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B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澳麦龙须面</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8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壮歌/老村长/野马寨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6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1000g</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A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9A8C">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8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4A2CDA94">
            <w:pPr>
              <w:jc w:val="center"/>
              <w:rPr>
                <w:rFonts w:hint="eastAsia" w:ascii="宋体" w:hAnsi="宋体" w:eastAsia="宋体" w:cs="宋体"/>
                <w:i w:val="0"/>
                <w:iCs w:val="0"/>
                <w:color w:val="000000"/>
                <w:sz w:val="24"/>
                <w:szCs w:val="24"/>
                <w:u w:val="none"/>
              </w:rPr>
            </w:pPr>
          </w:p>
        </w:tc>
      </w:tr>
      <w:tr w14:paraId="7578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2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1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高筋阳春挂面</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7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壮歌/老村长/野马寨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0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1000g</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F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F841">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4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7A829B7E">
            <w:pPr>
              <w:jc w:val="center"/>
              <w:rPr>
                <w:rFonts w:hint="eastAsia" w:ascii="宋体" w:hAnsi="宋体" w:eastAsia="宋体" w:cs="宋体"/>
                <w:i w:val="0"/>
                <w:iCs w:val="0"/>
                <w:color w:val="000000"/>
                <w:sz w:val="24"/>
                <w:szCs w:val="24"/>
                <w:u w:val="none"/>
              </w:rPr>
            </w:pPr>
          </w:p>
        </w:tc>
      </w:tr>
      <w:tr w14:paraId="285D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2B23D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8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劲道挂面</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A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壮歌/老村长/野马寨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7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1000g</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5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C1B7">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6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1E6B8457">
            <w:pPr>
              <w:jc w:val="center"/>
              <w:rPr>
                <w:rFonts w:hint="eastAsia" w:ascii="宋体" w:hAnsi="宋体" w:eastAsia="宋体" w:cs="宋体"/>
                <w:i w:val="0"/>
                <w:iCs w:val="0"/>
                <w:color w:val="000000"/>
                <w:sz w:val="24"/>
                <w:szCs w:val="24"/>
                <w:u w:val="none"/>
              </w:rPr>
            </w:pPr>
          </w:p>
        </w:tc>
      </w:tr>
      <w:tr w14:paraId="4723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2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2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香丝苗米</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FF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万田/</w:t>
            </w:r>
            <w:r>
              <w:rPr>
                <w:rFonts w:hint="eastAsia" w:ascii="宋体" w:hAnsi="宋体" w:eastAsia="宋体" w:cs="宋体"/>
                <w:kern w:val="0"/>
                <w:sz w:val="24"/>
                <w:szCs w:val="24"/>
                <w:lang w:val="en-US" w:eastAsia="zh-CN" w:bidi="ar"/>
              </w:rPr>
              <w:t>米姐田园</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kern w:val="0"/>
                <w:sz w:val="24"/>
                <w:szCs w:val="24"/>
                <w:lang w:val="en-US" w:eastAsia="zh-CN" w:bidi="ar"/>
              </w:rPr>
              <w:t>十月稻田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0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25kg/袋</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6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FBFA">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A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44E50A18">
            <w:pPr>
              <w:jc w:val="center"/>
              <w:rPr>
                <w:rFonts w:hint="eastAsia" w:ascii="宋体" w:hAnsi="宋体" w:eastAsia="宋体" w:cs="宋体"/>
                <w:i w:val="0"/>
                <w:iCs w:val="0"/>
                <w:color w:val="000000"/>
                <w:sz w:val="24"/>
                <w:szCs w:val="24"/>
                <w:u w:val="none"/>
              </w:rPr>
            </w:pPr>
          </w:p>
        </w:tc>
      </w:tr>
      <w:tr w14:paraId="5B88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5FA1B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1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福香米</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8C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穗岁乐/</w:t>
            </w:r>
            <w:r>
              <w:rPr>
                <w:rFonts w:hint="eastAsia" w:ascii="宋体" w:hAnsi="宋体" w:eastAsia="宋体" w:cs="宋体"/>
                <w:kern w:val="0"/>
                <w:sz w:val="24"/>
                <w:szCs w:val="24"/>
                <w:lang w:val="en-US" w:eastAsia="zh-CN" w:bidi="ar"/>
              </w:rPr>
              <w:t>十月稻田</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kern w:val="0"/>
                <w:sz w:val="24"/>
                <w:szCs w:val="24"/>
                <w:lang w:val="en-US" w:eastAsia="zh-CN" w:bidi="ar"/>
              </w:rPr>
              <w:t>北大荒</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7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25kg/袋</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6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4BCB">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5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0E364A74">
            <w:pPr>
              <w:jc w:val="center"/>
              <w:rPr>
                <w:rFonts w:hint="eastAsia" w:ascii="宋体" w:hAnsi="宋体" w:eastAsia="宋体" w:cs="宋体"/>
                <w:i w:val="0"/>
                <w:iCs w:val="0"/>
                <w:color w:val="000000"/>
                <w:sz w:val="24"/>
                <w:szCs w:val="24"/>
                <w:u w:val="none"/>
              </w:rPr>
            </w:pPr>
          </w:p>
        </w:tc>
      </w:tr>
      <w:tr w14:paraId="0374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D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C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珍珠米</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D2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旺佰穗/红土思乡/北大荒</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D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25kg/袋</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6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1EAD">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B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0973CA0D">
            <w:pPr>
              <w:jc w:val="center"/>
              <w:rPr>
                <w:rFonts w:hint="eastAsia" w:ascii="宋体" w:hAnsi="宋体" w:eastAsia="宋体" w:cs="宋体"/>
                <w:i w:val="0"/>
                <w:iCs w:val="0"/>
                <w:color w:val="000000"/>
                <w:sz w:val="24"/>
                <w:szCs w:val="24"/>
                <w:u w:val="none"/>
              </w:rPr>
            </w:pPr>
          </w:p>
        </w:tc>
      </w:tr>
      <w:tr w14:paraId="6FEF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20308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C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阳春面</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71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万田/</w:t>
            </w:r>
            <w:r>
              <w:rPr>
                <w:rFonts w:hint="eastAsia" w:ascii="宋体" w:hAnsi="宋体" w:eastAsia="宋体" w:cs="宋体"/>
                <w:color w:val="000000"/>
                <w:kern w:val="0"/>
                <w:sz w:val="24"/>
                <w:szCs w:val="24"/>
                <w:u w:val="none"/>
                <w:lang w:val="en-US" w:eastAsia="zh-CN" w:bidi="ar"/>
              </w:rPr>
              <w:t>寿桃牌</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color w:val="000000"/>
                <w:kern w:val="0"/>
                <w:sz w:val="24"/>
                <w:szCs w:val="24"/>
                <w:u w:val="none"/>
                <w:lang w:val="en-US" w:eastAsia="zh-CN" w:bidi="ar"/>
              </w:rPr>
              <w:t>金沙河</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5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530g</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A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8EEB">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5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3C7955A0">
            <w:pPr>
              <w:jc w:val="center"/>
              <w:rPr>
                <w:rFonts w:hint="eastAsia" w:ascii="宋体" w:hAnsi="宋体" w:eastAsia="宋体" w:cs="宋体"/>
                <w:i w:val="0"/>
                <w:iCs w:val="0"/>
                <w:color w:val="000000"/>
                <w:sz w:val="24"/>
                <w:szCs w:val="24"/>
                <w:u w:val="none"/>
              </w:rPr>
            </w:pPr>
          </w:p>
        </w:tc>
      </w:tr>
      <w:tr w14:paraId="58519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8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D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面粉</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F9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康得利/金沙河/天山</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C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25kg/袋</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0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B94A">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E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1A5F43B0">
            <w:pPr>
              <w:jc w:val="center"/>
              <w:rPr>
                <w:rFonts w:hint="eastAsia" w:ascii="宋体" w:hAnsi="宋体" w:eastAsia="宋体" w:cs="宋体"/>
                <w:i w:val="0"/>
                <w:iCs w:val="0"/>
                <w:color w:val="000000"/>
                <w:sz w:val="24"/>
                <w:szCs w:val="24"/>
                <w:u w:val="none"/>
              </w:rPr>
            </w:pPr>
          </w:p>
        </w:tc>
      </w:tr>
      <w:tr w14:paraId="67CF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5F96D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C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雪花粉</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D6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万田/</w:t>
            </w:r>
            <w:r>
              <w:rPr>
                <w:rFonts w:hint="eastAsia" w:ascii="宋体" w:hAnsi="宋体" w:eastAsia="宋体" w:cs="宋体"/>
                <w:color w:val="000000"/>
                <w:kern w:val="0"/>
                <w:sz w:val="24"/>
                <w:szCs w:val="24"/>
                <w:u w:val="none"/>
                <w:lang w:val="en-US" w:eastAsia="zh-CN" w:bidi="ar"/>
              </w:rPr>
              <w:t>天山</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color w:val="000000"/>
                <w:kern w:val="0"/>
                <w:sz w:val="24"/>
                <w:szCs w:val="24"/>
                <w:u w:val="none"/>
                <w:lang w:val="en-US" w:eastAsia="zh-CN" w:bidi="ar"/>
              </w:rPr>
              <w:t>河套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D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2.5kg/袋</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0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E9E7">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C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31E09FDA">
            <w:pPr>
              <w:jc w:val="center"/>
              <w:rPr>
                <w:rFonts w:hint="eastAsia" w:ascii="宋体" w:hAnsi="宋体" w:eastAsia="宋体" w:cs="宋体"/>
                <w:i w:val="0"/>
                <w:iCs w:val="0"/>
                <w:color w:val="000000"/>
                <w:sz w:val="24"/>
                <w:szCs w:val="24"/>
                <w:u w:val="none"/>
              </w:rPr>
            </w:pPr>
          </w:p>
        </w:tc>
      </w:tr>
      <w:tr w14:paraId="611E7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8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3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雪花粉</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D0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万田/</w:t>
            </w:r>
            <w:r>
              <w:rPr>
                <w:rFonts w:hint="eastAsia" w:ascii="宋体" w:hAnsi="宋体" w:eastAsia="宋体" w:cs="宋体"/>
                <w:kern w:val="0"/>
                <w:sz w:val="24"/>
                <w:szCs w:val="24"/>
                <w:lang w:val="en-US" w:eastAsia="zh-CN" w:bidi="ar"/>
              </w:rPr>
              <w:t>天山</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kern w:val="0"/>
                <w:sz w:val="24"/>
                <w:szCs w:val="24"/>
                <w:lang w:val="en-US" w:eastAsia="zh-CN" w:bidi="ar"/>
              </w:rPr>
              <w:t>河套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C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1kg/袋</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7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8737">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2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6585AE8D">
            <w:pPr>
              <w:jc w:val="center"/>
              <w:rPr>
                <w:rFonts w:hint="eastAsia" w:ascii="宋体" w:hAnsi="宋体" w:eastAsia="宋体" w:cs="宋体"/>
                <w:i w:val="0"/>
                <w:iCs w:val="0"/>
                <w:color w:val="000000"/>
                <w:sz w:val="24"/>
                <w:szCs w:val="24"/>
                <w:u w:val="none"/>
              </w:rPr>
            </w:pPr>
          </w:p>
        </w:tc>
      </w:tr>
      <w:tr w14:paraId="6D4F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57D81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F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低筋面粉</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CE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五得利//古船/香雪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A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25kg/袋</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2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79CE">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5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60CB5DF8">
            <w:pPr>
              <w:jc w:val="center"/>
              <w:rPr>
                <w:rFonts w:hint="eastAsia" w:ascii="宋体" w:hAnsi="宋体" w:eastAsia="宋体" w:cs="宋体"/>
                <w:i w:val="0"/>
                <w:iCs w:val="0"/>
                <w:color w:val="000000"/>
                <w:sz w:val="24"/>
                <w:szCs w:val="24"/>
                <w:u w:val="none"/>
              </w:rPr>
            </w:pPr>
          </w:p>
        </w:tc>
      </w:tr>
      <w:tr w14:paraId="5EF3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1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9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高筋面粉</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ED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五得利/古船/香雪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4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25kg/袋</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1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F671">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6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4DFEECD7">
            <w:pPr>
              <w:jc w:val="center"/>
              <w:rPr>
                <w:rFonts w:hint="eastAsia" w:ascii="宋体" w:hAnsi="宋体" w:eastAsia="宋体" w:cs="宋体"/>
                <w:i w:val="0"/>
                <w:iCs w:val="0"/>
                <w:color w:val="000000"/>
                <w:sz w:val="24"/>
                <w:szCs w:val="24"/>
                <w:u w:val="none"/>
              </w:rPr>
            </w:pPr>
          </w:p>
        </w:tc>
      </w:tr>
      <w:tr w14:paraId="1217C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nil"/>
              <w:left w:val="single" w:color="000000" w:sz="4" w:space="0"/>
              <w:bottom w:val="single" w:color="000000" w:sz="4" w:space="0"/>
              <w:right w:val="single" w:color="000000" w:sz="4" w:space="0"/>
            </w:tcBorders>
            <w:shd w:val="clear" w:color="auto" w:fill="auto"/>
            <w:noWrap/>
            <w:vAlign w:val="center"/>
          </w:tcPr>
          <w:p w14:paraId="3BE20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4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湿米粉</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BC05">
            <w:pPr>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F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6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F8DE">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1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688A0A54">
            <w:pPr>
              <w:jc w:val="center"/>
              <w:rPr>
                <w:rFonts w:hint="eastAsia" w:ascii="宋体" w:hAnsi="宋体" w:eastAsia="宋体" w:cs="宋体"/>
                <w:i w:val="0"/>
                <w:iCs w:val="0"/>
                <w:color w:val="000000"/>
                <w:sz w:val="24"/>
                <w:szCs w:val="24"/>
                <w:u w:val="none"/>
              </w:rPr>
            </w:pPr>
          </w:p>
        </w:tc>
      </w:tr>
      <w:tr w14:paraId="7B2B2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9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C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干米粉</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9FC4">
            <w:pPr>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A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1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E3EA">
            <w:pPr>
              <w:jc w:val="center"/>
              <w:rPr>
                <w:rFonts w:hint="eastAsia" w:ascii="宋体" w:hAnsi="宋体" w:eastAsia="宋体" w:cs="宋体"/>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7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14:paraId="6C481DA5">
            <w:pPr>
              <w:jc w:val="center"/>
              <w:rPr>
                <w:rFonts w:hint="eastAsia" w:ascii="宋体" w:hAnsi="宋体" w:eastAsia="宋体" w:cs="宋体"/>
                <w:i w:val="0"/>
                <w:iCs w:val="0"/>
                <w:color w:val="000000"/>
                <w:sz w:val="24"/>
                <w:szCs w:val="24"/>
                <w:u w:val="none"/>
              </w:rPr>
            </w:pPr>
          </w:p>
        </w:tc>
      </w:tr>
    </w:tbl>
    <w:p w14:paraId="4E34BB5E">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2"/>
        <w:rPr>
          <w:rFonts w:hint="default"/>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keepNext w:val="0"/>
        <w:keepLines w:val="0"/>
        <w:pageBreakBefore w:val="0"/>
        <w:numPr>
          <w:ilvl w:val="0"/>
          <w:numId w:val="0"/>
        </w:numPr>
        <w:kinsoku/>
        <w:wordWrap/>
        <w:overflowPunct/>
        <w:topLinePunct w:val="0"/>
        <w:autoSpaceDE/>
        <w:autoSpaceDN/>
        <w:bidi w:val="0"/>
        <w:adjustRightInd/>
        <w:snapToGrid/>
        <w:spacing w:line="440" w:lineRule="exact"/>
        <w:ind w:left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（3）食品配送人员须持有有效期内的食品从业人员健康证明</w:t>
      </w:r>
      <w:r>
        <w:rPr>
          <w:rFonts w:hint="eastAsia" w:asciiTheme="minorEastAsia" w:hAnsiTheme="minorEastAsia" w:cstheme="minorEastAsia"/>
          <w:color w:val="auto"/>
          <w:sz w:val="24"/>
          <w:szCs w:val="24"/>
          <w:lang w:val="en-US" w:eastAsia="zh-CN"/>
        </w:rPr>
        <w:t>。</w:t>
      </w:r>
    </w:p>
    <w:p w14:paraId="172AFD8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本项目不接受联合体报价</w:t>
      </w:r>
      <w:r>
        <w:rPr>
          <w:rFonts w:hint="eastAsia" w:asciiTheme="minorEastAsia" w:hAnsiTheme="minorEastAsia" w:cstheme="minorEastAsia"/>
          <w:color w:val="auto"/>
          <w:sz w:val="24"/>
          <w:szCs w:val="24"/>
          <w:lang w:eastAsia="zh-CN"/>
        </w:rPr>
        <w:t>。</w:t>
      </w:r>
    </w:p>
    <w:p w14:paraId="22D04D78">
      <w:pPr>
        <w:keepNext w:val="0"/>
        <w:keepLines w:val="0"/>
        <w:pageBreakBefore w:val="0"/>
        <w:numPr>
          <w:ilvl w:val="0"/>
          <w:numId w:val="0"/>
        </w:numPr>
        <w:kinsoku/>
        <w:wordWrap/>
        <w:overflowPunct/>
        <w:topLinePunct w:val="0"/>
        <w:autoSpaceDE/>
        <w:autoSpaceDN/>
        <w:bidi w:val="0"/>
        <w:adjustRightInd/>
        <w:snapToGrid/>
        <w:spacing w:line="440" w:lineRule="exact"/>
        <w:ind w:leftChars="20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三、供应产品的质量要求</w:t>
      </w:r>
    </w:p>
    <w:p w14:paraId="406435CB">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1.总体要求；</w:t>
      </w:r>
    </w:p>
    <w:p w14:paraId="658C1E51">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1.1米、油、面粉、豆类货物需符合卫生标准，不得有腐烂、变质、油脂酸败、霉变、生虫、污秽不洁、混有异物或者其他感官性状异常，并可能对人体健康有害的物质。</w:t>
      </w:r>
    </w:p>
    <w:p w14:paraId="7451C6FF">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1.2米、油成交后须按院方要求提供产品检验合格证书。</w:t>
      </w:r>
    </w:p>
    <w:p w14:paraId="3382F358">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包装食品：包装箱完整，同时包装箱要印有注册商标、生产厂家名称、厂址、出厂日期、产品合格证、保质期限、产品成分、厂家电话号码。散装豆类：提供生产厂家营业执照、卫生许可证、国家机关发出的产品检验合格证书。成交人所提供产品质量需要符合行业标准要求，不得有掺假、变质、变味、过期等现象出现，严禁伪劣、假冒、无证不合格物品进入仓库。</w:t>
      </w:r>
    </w:p>
    <w:p w14:paraId="10492A7A">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米类：大米品种要求为标准一级米，不含添加剂。米类执行标准：GB1354-2018、GB2715-2005、GB2763-2014；大米的质量标准：除符合标准一级米外，要求：碎米总量≤15%（国家标准：≤15%）小碎米总量≤1%（国家标准：≤1%）不完善粒≤3%（国家标准：≤3%）。</w:t>
      </w:r>
    </w:p>
    <w:p w14:paraId="1B194943">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3.面粉类：所提供的物品必须是安全，不得有受潮、霉变、过期等现象。成交后须按院方要求提供相应证件及相关质量检验报告；产品标准符合：《小麦粉》（GB/T 1355-2021），《高筋小麦粉》（GB/T 8607-1988），有SC食品质量安全认证，SC许可编码等各类标识清楚，符合《食品安全国家标准预包装食品标签通则》（GB7718-2011） 的相应规定，符合《粮食卫生标准》（GB2715-2005）包装，符合《粮食销售包装》（GB/T 17109-2008）规定要求。不许添加其他任何辅料（如淀粉）和食品添加剂（如酶制剂、增稠剂、乳化剂、还原剂），添加营养强化剂应符合《食品营养强化剂使用标准》（GB14880-2012）。</w:t>
      </w:r>
    </w:p>
    <w:p w14:paraId="3A3960FF">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4.油类质量要求：花生油、菜籽油、大豆油、玉米油等应符合（GB/T 1534-2017）《花生油》、GB/T1536-2021《菜籽油》、GB/T1535-2017《大豆油》、GB/T19111-2017《玉米油》，具有SC许可编码，无异常色泽和气味，新鲜不变质，无污染等，色泽：淡黄色至橙黄；气味、滋味：具有花生油固有的香味和滋味，无异味；透明度：澄清、透明；不得添加任何香精和香料。</w:t>
      </w:r>
    </w:p>
    <w:p w14:paraId="4B9DC8C6">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4.1水分及挥发物≤0.10%；不溶性杂质≤0.05%；酸价（KOH）≤1.5mg/g；过氧化值≤6mmol/kg；溶剂残留量：不得检出；加热试验（280℃）：无析出物，油色不变。</w:t>
      </w:r>
    </w:p>
    <w:p w14:paraId="10953256">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4.2食用植物调和油：符合《食用调和油国家标准》（GB/T40851-2021），具有SC许可编码，具有产品应有的色泽、无异常色泽、无焦臭、酸败及其他异味，新鲜无变质，无污染、具有产品应有的状态，无正常视力可见的外来异物、溶剂残留量不得检出等。技术指标：酸价≤3mg/g，过氧化值≤0.25g/100g。</w:t>
      </w:r>
    </w:p>
    <w:p w14:paraId="219F3C9A">
      <w:pPr>
        <w:pStyle w:val="2"/>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干米粉应符合QB/T 2652-2004《方便米粉（米线）》、QBT2652-2025《米粉（米线）》。</w:t>
      </w:r>
    </w:p>
    <w:p w14:paraId="16122130">
      <w:pPr>
        <w:pStyle w:val="2"/>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湿米粉应符合《鲜湿米粉》（DBS 45050-2021）</w:t>
      </w:r>
    </w:p>
    <w:p w14:paraId="21C3CFF6">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根据院方对食用油的需求等级保质保量完成供货。要求提供的食用油生产厂家信誉良好，有明确的商品标签，有生产日期、保质期、质量等级，并标明初制油的加工工艺(即用浸出法生产，还是用压榨法生产的）。</w:t>
      </w:r>
    </w:p>
    <w:p w14:paraId="2C6744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有权拒绝接受所提供的物品或食品。若因食品质量引起食物中毒（经市场监督管</w:t>
      </w:r>
      <w:r>
        <w:rPr>
          <w:rFonts w:hint="eastAsia" w:asciiTheme="minorEastAsia" w:hAnsiTheme="minorEastAsia" w:cstheme="minorEastAsia"/>
          <w:color w:val="000000" w:themeColor="text1"/>
          <w:sz w:val="24"/>
          <w:szCs w:val="24"/>
          <w:lang w:val="en-US" w:eastAsia="zh-CN"/>
          <w14:textFill>
            <w14:solidFill>
              <w14:schemeClr w14:val="tx1"/>
            </w14:solidFill>
          </w14:textFill>
        </w:rPr>
        <w:t>理局</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、卫生防疫部门鉴定），</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的供货资格，终止合同。</w:t>
      </w:r>
    </w:p>
    <w:p w14:paraId="65504AA5">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w:t>
      </w:r>
      <w:r>
        <w:rPr>
          <w:rFonts w:hint="default" w:ascii="宋体" w:hAnsi="宋体" w:eastAsia="宋体" w:cs="宋体"/>
          <w:color w:val="auto"/>
          <w:sz w:val="24"/>
          <w:szCs w:val="24"/>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kern w:val="2"/>
          <w:sz w:val="24"/>
          <w:szCs w:val="24"/>
          <w:lang w:val="en-US" w:eastAsia="zh-CN" w:bidi="ar-SA"/>
        </w:rPr>
        <w:t>成交人收到院方订单30 分钟内确认订单可行性，包括库存、数量及送达时间并在规定时间内送达；临时订单需在 2 小时内响应并送达。因交通、天气等不可抗力导致的延误除外。</w:t>
      </w:r>
    </w:p>
    <w:p w14:paraId="46F7C34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2.成交人每次供货时，应向院方提供加盖公章的货物清单（出库单）和全额增值税普通发票或增值税专用发票等相关票据。</w:t>
      </w:r>
    </w:p>
    <w:p w14:paraId="3A180E7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60417D0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4.院方对应急食品及政府扶贫农副产品采购有自主权，院方有权直接采购，不受成交人和本项目制约。</w:t>
      </w:r>
    </w:p>
    <w:p w14:paraId="5113A31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运输要求：成交人要有不少于1辆配送车辆保障院方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w:t>
      </w:r>
    </w:p>
    <w:p w14:paraId="2631832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6.成交人所报的货品价格均包含了货物、包装、运输、保险、税费及其他所有相关服务费用，成交人不得以开具发票等手续为由再向院方申请款项。</w:t>
      </w:r>
    </w:p>
    <w:p w14:paraId="16B7E41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7.最终提供货品品类和数量以院方提前通知为准。院方有权对供货清单（含货品品类、数量等）做适当修改调整。</w:t>
      </w:r>
    </w:p>
    <w:p w14:paraId="654B730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55B88C9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9.成交人不得变更供货清单，应严格按需求文件要求（含商标、名称、产地、规格和重量等）供应，否则院方有权拒收。如因市场流通问题确实需要变更的，应书面向院方申请。</w:t>
      </w:r>
    </w:p>
    <w:p w14:paraId="6BF1160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物品或食品，给予成交人书面警告并记录在案，成交人无条件收回所供应的食品并给予院方书面答复说明原因，造成的一切损失和费用由成交人负责，并在24小时内更换合格货品。产品不合格超过3次的，院方有权取消供货资格，终止合同。</w:t>
      </w:r>
    </w:p>
    <w:p w14:paraId="3B9A45D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11.成交人在合同履行期间内保证对院方的货物供应，在供应的食材、食品出现明显问题时，院方有权对所供货物进行抽检，并交予有资质的检测机构进行检测（检测费用由成交人承担）。</w:t>
      </w:r>
    </w:p>
    <w:p w14:paraId="57AC409F">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12.成交人在供应过程中，如果发生出现质量问题或造成食物中毒，如变质等情况，经查实后确属供应方责任，成交人应承担全部责任，主要包括食物中毒人员医疗费、误工费、事故处理费等，直至追究刑事责任。</w:t>
      </w:r>
    </w:p>
    <w:p w14:paraId="6A2FE5F1">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成交人自签订采购合同之日起，须在“国家脱贫地区农副产品网络销售平台”（832平台）完成不少于40万元（含税，以平台最终结算金额为准，不含附加费用）的脱贫地区农副产品采购。采购须遵循平台规则，杜绝虚假交易，产品符合国家及平台标准，按期完成（合同未约定时限则默认12个月）。供应商需配合采购方核查，按要求提供相关凭证，违规或未按期完成将按约定承担违约责任。</w:t>
      </w:r>
    </w:p>
    <w:p w14:paraId="77A90581">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五、违约责任</w:t>
      </w:r>
    </w:p>
    <w:p w14:paraId="4C358579">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1.成交供应商不得擅自变更院方已确定的供应品目，应严格按要求（含商标、名称、产地、规格、品相和重量等）供应，否则，院方有权拒收，并要求成交人支付该笔订单金额10%的违约金。如因市场流通问题确实需要变更的，应书面向院方申请。</w:t>
      </w:r>
    </w:p>
    <w:p w14:paraId="4F3FE39F">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2.成交供应商不能满足供货要求时，应提前1个月通知院方，院方同意后方可终止合同。</w:t>
      </w:r>
    </w:p>
    <w:p w14:paraId="468FE28E">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3.成交供应商未能按院方要求时间交货，每延迟半小时按照当笔订单总金额的千分之三向院方支付违约金。迟延超过1小时的，院方有权选择拒收；院方不拒收的，按折价10%收货，以赔偿给院方造成的影响。</w:t>
      </w:r>
    </w:p>
    <w:p w14:paraId="43643A40">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4.成交供应商提供食材与院方要求种类、品质不符品种，成交供应商应在</w:t>
      </w:r>
      <w:r>
        <w:rPr>
          <w:rFonts w:hint="eastAsia" w:ascii="宋体" w:hAnsi="宋体" w:eastAsia="宋体" w:cs="宋体"/>
          <w:color w:val="auto"/>
          <w:sz w:val="24"/>
          <w:szCs w:val="24"/>
          <w:lang w:val="en-US" w:eastAsia="zh-CN"/>
        </w:rPr>
        <w:t>24</w:t>
      </w:r>
      <w:r>
        <w:rPr>
          <w:rFonts w:hint="default" w:ascii="宋体" w:hAnsi="宋体" w:eastAsia="宋体" w:cs="宋体"/>
          <w:color w:val="auto"/>
          <w:sz w:val="24"/>
          <w:szCs w:val="24"/>
        </w:rPr>
        <w:t>小时内将不符品种予以替换，逾期未替换或替换后仍无法通过院方验货的，或者逾期交货超过</w:t>
      </w:r>
      <w:r>
        <w:rPr>
          <w:rFonts w:hint="eastAsia" w:ascii="宋体" w:hAnsi="宋体" w:eastAsia="宋体" w:cs="宋体"/>
          <w:color w:val="auto"/>
          <w:sz w:val="24"/>
          <w:szCs w:val="24"/>
          <w:lang w:val="en-US" w:eastAsia="zh-CN"/>
        </w:rPr>
        <w:t>24</w:t>
      </w:r>
      <w:r>
        <w:rPr>
          <w:rFonts w:hint="default" w:ascii="宋体" w:hAnsi="宋体" w:eastAsia="宋体" w:cs="宋体"/>
          <w:color w:val="auto"/>
          <w:sz w:val="24"/>
          <w:szCs w:val="24"/>
        </w:rPr>
        <w:t>小时的，院方有权拒收并要求成交供应商在院方规定时间内支付相当于该批不符品种订货价款3倍的违约金，院方不拒收的，按折价10%收货，以赔偿给院方造成的影响。</w:t>
      </w:r>
    </w:p>
    <w:p w14:paraId="2964D059">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发生上述情形累计超过3次，或者成交供应商拒不支付违约金的，或者发生一次但情节严重的（如因成交供应商未按时供货导致院方开餐延误甚至停餐等），院方有权单方通知成交供应商解除本合同，给院方造成损失的，院方有权要求成交供应商承担。</w:t>
      </w:r>
    </w:p>
    <w:p w14:paraId="6F02E862">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5.供应商一旦成交，承诺的下浮价在合同服务期内不得变更，否则院方有权单方终止合同，由此产生的一切经济损失由成交供应商自行承担。</w:t>
      </w:r>
    </w:p>
    <w:p w14:paraId="3606F632">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6.成交供应商安排专人负责院方采购事宜，成交供应商提供全天候24小时服务。成交供应商指定联系人及联系方式发生变化的，应提前通知院方，因怠于通知导致院方与其联络不畅或者迟延履行合同的，属违约行为，如影响或导致逾期交货属成交供应商责任，院方将按前第3、4项约定进行处理。累计情形超过3次，或者发生一次但情节严重（引发媒体广泛报道、社会舆论强烈关注，严重损害院方信誉或公共利益的）的，院方有权单方通知成交供应商解除本合同，给院方造成损失的，院方有权要求成交供应商承担。</w:t>
      </w:r>
    </w:p>
    <w:p w14:paraId="5013F72F">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7.成交供应商应每日对所提供的服务车辆使用情况及安全状况进行排查，确保院方所采购的产品物资在规定时间正常交货，因成交供应商车辆情况导致逾期交货属成交供应商责任，院方将按前第3项约定进行处理。累计情形超过3次，或者发生一次但情节严重的，院方有权单方通知成交供应商解除本合同，给院方造成损失的，院方有权要求成交供应商承担。</w:t>
      </w:r>
    </w:p>
    <w:p w14:paraId="1B0B16D5">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8.成交供应商不得以任何形式将成交项目转包、分包，否则院方有权单方终止合同，由此产生的一切经济损失由成交供应商自行承担。</w:t>
      </w:r>
    </w:p>
    <w:p w14:paraId="20E33AF8">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9.服务期限内，如有以下情形之一的，终止其配送资格。</w:t>
      </w:r>
    </w:p>
    <w:p w14:paraId="43603F54">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(1)严重违法违规，被食品安全监管部门或其他部门处罚的；</w:t>
      </w:r>
    </w:p>
    <w:p w14:paraId="1EB834A0">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(2)虚开发票，套取资金，被监察、审计、财政、物价等有关部门查实的；</w:t>
      </w:r>
    </w:p>
    <w:p w14:paraId="710F9445">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(3)因食品原材料问题而发生食品安全事故，造成不良后果的；</w:t>
      </w:r>
    </w:p>
    <w:p w14:paraId="5DD4A233">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(4)被食品药品监督局、农业局抽检食品原材料发现存在严重质量问题的；</w:t>
      </w:r>
    </w:p>
    <w:p w14:paraId="145AB6E7">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(5)被媒体曝光，造成不良影响的；</w:t>
      </w:r>
    </w:p>
    <w:p w14:paraId="77ECB51B">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rPr>
      </w:pPr>
      <w:r>
        <w:rPr>
          <w:rFonts w:hint="default" w:ascii="宋体" w:hAnsi="宋体" w:eastAsia="宋体" w:cs="宋体"/>
          <w:color w:val="auto"/>
          <w:sz w:val="24"/>
          <w:szCs w:val="24"/>
        </w:rPr>
        <w:t>(6)存在严重短斤缺两行为的。</w:t>
      </w:r>
    </w:p>
    <w:p w14:paraId="3297E668">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sz w:val="24"/>
          <w:szCs w:val="24"/>
        </w:rPr>
        <w:t>10.院方有权从任一笔应付采购款中直接扣除成交供应商应支付的违约金或应承担的其他赔偿费用。</w:t>
      </w:r>
    </w:p>
    <w:p w14:paraId="4445AE05">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六、定价、结算方式</w:t>
      </w:r>
    </w:p>
    <w:p w14:paraId="6E645F1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1.定价方式</w:t>
      </w:r>
    </w:p>
    <w:p w14:paraId="0360C2D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1.1按统一下浮系数报价；</w:t>
      </w:r>
    </w:p>
    <w:p w14:paraId="431C028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响应报价结合市场价、原材料成本及成交人自身条件、市场风险等因素考虑报出综合的下浮系数，以优惠的价格向院方供应产品。各产品实际采购价格=各产品供货价×（1-下浮系数），该结算综合下浮系数在合同服务期内不得改变。</w:t>
      </w:r>
    </w:p>
    <w:p w14:paraId="4F38E916">
      <w:pPr>
        <w:pStyle w:val="2"/>
        <w:spacing w:line="440" w:lineRule="exact"/>
        <w:rPr>
          <w:rFonts w:hint="eastAsia"/>
          <w:sz w:val="24"/>
          <w:szCs w:val="24"/>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bookmarkStart w:id="0" w:name="_GoBack"/>
      <w:bookmarkEnd w:id="0"/>
    </w:p>
    <w:p w14:paraId="654952D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1.3报价必须含以下部分：</w:t>
      </w:r>
    </w:p>
    <w:p w14:paraId="73324E1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1.3.1货物、服务费用；</w:t>
      </w:r>
    </w:p>
    <w:p w14:paraId="0309173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1.3.2报价需包含必要的保险费用和各项税金费用；</w:t>
      </w:r>
    </w:p>
    <w:p w14:paraId="1FECB37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1.3.3报价需包含购置、检验、分拣、包装、运输、仓储、装卸、配送、搬运、检验检测、售后服务、雇员费用、管理费等合同履行过程中的应预见和不可预见的一切费用。</w:t>
      </w:r>
    </w:p>
    <w:p w14:paraId="7C31E17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2.结算方式：</w:t>
      </w:r>
    </w:p>
    <w:p w14:paraId="46F00420">
      <w:pPr>
        <w:numPr>
          <w:ilvl w:val="0"/>
          <w:numId w:val="0"/>
        </w:numPr>
        <w:spacing w:line="440" w:lineRule="exact"/>
        <w:ind w:leftChars="0" w:firstLine="480" w:firstLineChars="200"/>
        <w:jc w:val="left"/>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须按当次结算的实收金额开具合法有效的税务发票，并严格遵守国家税收法律法规依法纳税。针对本次采购中属于国家现行税收优惠政策范围内的项目，按国家有关要求执行，开具有效发票或相关凭证。发票清单与入库单据相符，作为院方付款依据，否则院方有权拒绝付款而不构成违约。院方收到发票后3个月内一次性付清货款。成交方未开具合法有效的对应金额的发票的，院方有权不支付相应款项。</w:t>
      </w:r>
    </w:p>
    <w:p w14:paraId="75E391FF">
      <w:pPr>
        <w:numPr>
          <w:ilvl w:val="0"/>
          <w:numId w:val="5"/>
        </w:numPr>
        <w:spacing w:line="440" w:lineRule="exact"/>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中山大学附属第一医院广西医院粮油类采购及配送服务评分标准</w:t>
      </w:r>
    </w:p>
    <w:tbl>
      <w:tblPr>
        <w:tblStyle w:val="6"/>
        <w:tblpPr w:leftFromText="180" w:rightFromText="180" w:vertAnchor="text" w:horzAnchor="page" w:tblpX="1458" w:tblpY="282"/>
        <w:tblOverlap w:val="never"/>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8"/>
        <w:gridCol w:w="7473"/>
        <w:gridCol w:w="962"/>
      </w:tblGrid>
      <w:tr w14:paraId="4CD5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938" w:type="dxa"/>
            <w:tcMar>
              <w:top w:w="0" w:type="dxa"/>
              <w:left w:w="108" w:type="dxa"/>
              <w:bottom w:w="0" w:type="dxa"/>
              <w:right w:w="108" w:type="dxa"/>
            </w:tcMar>
            <w:vAlign w:val="center"/>
          </w:tcPr>
          <w:p w14:paraId="7E1D4783">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评分项目</w:t>
            </w:r>
          </w:p>
        </w:tc>
        <w:tc>
          <w:tcPr>
            <w:tcW w:w="7473" w:type="dxa"/>
            <w:tcMar>
              <w:top w:w="0" w:type="dxa"/>
              <w:left w:w="108" w:type="dxa"/>
              <w:bottom w:w="0" w:type="dxa"/>
              <w:right w:w="108" w:type="dxa"/>
            </w:tcMar>
            <w:vAlign w:val="center"/>
          </w:tcPr>
          <w:p w14:paraId="55AE2085">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评分内容</w:t>
            </w:r>
          </w:p>
        </w:tc>
        <w:tc>
          <w:tcPr>
            <w:tcW w:w="962" w:type="dxa"/>
            <w:tcMar>
              <w:top w:w="0" w:type="dxa"/>
              <w:left w:w="108" w:type="dxa"/>
              <w:bottom w:w="0" w:type="dxa"/>
              <w:right w:w="108" w:type="dxa"/>
            </w:tcMar>
            <w:vAlign w:val="center"/>
          </w:tcPr>
          <w:p w14:paraId="2B62BC25">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分值</w:t>
            </w:r>
          </w:p>
        </w:tc>
      </w:tr>
      <w:tr w14:paraId="45FD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9373" w:type="dxa"/>
            <w:gridSpan w:val="3"/>
            <w:tcMar>
              <w:top w:w="0" w:type="dxa"/>
              <w:left w:w="108" w:type="dxa"/>
              <w:bottom w:w="0" w:type="dxa"/>
              <w:right w:w="108" w:type="dxa"/>
            </w:tcMar>
            <w:vAlign w:val="center"/>
          </w:tcPr>
          <w:p w14:paraId="41A42517">
            <w:pPr>
              <w:widowControl/>
              <w:wordWrap w:val="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一、价格评分</w:t>
            </w:r>
            <w:r>
              <w:rPr>
                <w:rFonts w:hint="eastAsia" w:ascii="仿宋" w:hAnsi="仿宋" w:eastAsia="仿宋" w:cs="仿宋"/>
                <w:b w:val="0"/>
                <w:bCs w:val="0"/>
                <w:color w:val="auto"/>
                <w:kern w:val="0"/>
                <w:sz w:val="24"/>
                <w:szCs w:val="24"/>
                <w:lang w:val="en-US" w:eastAsia="zh-CN"/>
              </w:rPr>
              <w:t>35</w:t>
            </w:r>
            <w:r>
              <w:rPr>
                <w:rFonts w:hint="eastAsia" w:ascii="仿宋" w:hAnsi="仿宋" w:eastAsia="仿宋" w:cs="仿宋"/>
                <w:b w:val="0"/>
                <w:bCs w:val="0"/>
                <w:color w:val="auto"/>
                <w:kern w:val="0"/>
                <w:sz w:val="24"/>
                <w:szCs w:val="24"/>
              </w:rPr>
              <w:t>分</w:t>
            </w:r>
          </w:p>
        </w:tc>
      </w:tr>
      <w:tr w14:paraId="575B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8" w:type="dxa"/>
            <w:tcMar>
              <w:top w:w="0" w:type="dxa"/>
              <w:left w:w="108" w:type="dxa"/>
              <w:bottom w:w="0" w:type="dxa"/>
              <w:right w:w="108" w:type="dxa"/>
            </w:tcMar>
            <w:vAlign w:val="center"/>
          </w:tcPr>
          <w:p w14:paraId="0E95818E">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价格分</w:t>
            </w:r>
          </w:p>
        </w:tc>
        <w:tc>
          <w:tcPr>
            <w:tcW w:w="7473" w:type="dxa"/>
            <w:tcMar>
              <w:top w:w="0" w:type="dxa"/>
              <w:left w:w="108" w:type="dxa"/>
              <w:bottom w:w="0" w:type="dxa"/>
              <w:right w:w="108" w:type="dxa"/>
            </w:tcMar>
          </w:tcPr>
          <w:p w14:paraId="35F53F62">
            <w:pPr>
              <w:widowControl/>
              <w:numPr>
                <w:ilvl w:val="-1"/>
                <w:numId w:val="0"/>
              </w:numPr>
              <w:wordWrap/>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定价规则</w:t>
            </w:r>
          </w:p>
          <w:p w14:paraId="45EAA8F1">
            <w:pPr>
              <w:widowControl/>
              <w:numPr>
                <w:ilvl w:val="-1"/>
                <w:numId w:val="0"/>
              </w:numPr>
              <w:wordWrap/>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报价方式：按下浮系数报价，实际结算价=</w:t>
            </w:r>
            <w:r>
              <w:rPr>
                <w:rFonts w:hint="eastAsia" w:ascii="仿宋" w:hAnsi="仿宋" w:eastAsia="仿宋" w:cs="仿宋"/>
                <w:color w:val="000000" w:themeColor="text1"/>
                <w:kern w:val="0"/>
                <w:sz w:val="24"/>
                <w:szCs w:val="24"/>
                <w:lang w:val="en-US" w:eastAsia="zh-CN"/>
                <w14:textFill>
                  <w14:solidFill>
                    <w14:schemeClr w14:val="tx1"/>
                  </w14:solidFill>
                </w14:textFill>
              </w:rPr>
              <w:t>供货价格</w:t>
            </w:r>
            <w:r>
              <w:rPr>
                <w:rFonts w:hint="eastAsia" w:ascii="仿宋" w:hAnsi="仿宋" w:eastAsia="仿宋" w:cs="仿宋"/>
                <w:color w:val="000000" w:themeColor="text1"/>
                <w:kern w:val="0"/>
                <w:sz w:val="24"/>
                <w:szCs w:val="24"/>
                <w14:textFill>
                  <w14:solidFill>
                    <w14:schemeClr w14:val="tx1"/>
                  </w14:solidFill>
                </w14:textFill>
              </w:rPr>
              <w:t>×（1-下浮系数），合同期内下浮系数不变。</w:t>
            </w:r>
          </w:p>
          <w:p w14:paraId="13F618DF">
            <w:pPr>
              <w:numPr>
                <w:ilvl w:val="-1"/>
                <w:numId w:val="0"/>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评分规则 </w:t>
            </w:r>
          </w:p>
          <w:p w14:paraId="5507DAC8">
            <w:pPr>
              <w:numPr>
                <w:ilvl w:val="0"/>
                <w:numId w:val="6"/>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基准价：有效报价中最高下浮系数对应的报价（如A下浮20%，B下浮50%，则基准价为B的50%）。</w:t>
            </w:r>
          </w:p>
          <w:p w14:paraId="25313352">
            <w:pPr>
              <w:numPr>
                <w:ilvl w:val="0"/>
                <w:numId w:val="6"/>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得分计算：价格分 =（基准价下浮系数 /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响应人</w:t>
            </w:r>
            <w:r>
              <w:rPr>
                <w:rFonts w:hint="eastAsia" w:ascii="仿宋" w:hAnsi="仿宋" w:eastAsia="仿宋" w:cs="仿宋"/>
                <w:sz w:val="24"/>
                <w:szCs w:val="24"/>
              </w:rPr>
              <w:t>下浮系数</w:t>
            </w:r>
            <w:r>
              <w:rPr>
                <w:rFonts w:hint="eastAsia" w:ascii="仿宋" w:hAnsi="仿宋" w:eastAsia="仿宋" w:cs="仿宋"/>
                <w:sz w:val="24"/>
                <w:szCs w:val="24"/>
                <w:lang w:eastAsia="zh-CN"/>
              </w:rPr>
              <w:t>）</w:t>
            </w:r>
            <w:r>
              <w:rPr>
                <w:rFonts w:hint="eastAsia" w:ascii="仿宋" w:hAnsi="仿宋" w:eastAsia="仿宋" w:cs="仿宋"/>
                <w:sz w:val="24"/>
                <w:szCs w:val="24"/>
              </w:rPr>
              <w:t>）×35分</w:t>
            </w:r>
            <w:r>
              <w:rPr>
                <w:rFonts w:hint="eastAsia" w:ascii="仿宋" w:hAnsi="仿宋" w:eastAsia="仿宋" w:cs="仿宋"/>
                <w:sz w:val="24"/>
                <w:szCs w:val="24"/>
                <w:lang w:eastAsia="zh-CN"/>
              </w:rPr>
              <w:t>。</w:t>
            </w:r>
          </w:p>
          <w:p w14:paraId="47EF281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如评审小组认定响应报价明显偏离市场合理区间，供应商需出具书面材料进行解释说明，经评审小组审核通过后方可视作有效报价，否则视作无效报价。</w:t>
            </w:r>
          </w:p>
          <w:p w14:paraId="7988ED01">
            <w:pPr>
              <w:widowControl/>
              <w:wordWrap/>
              <w:ind w:firstLine="480" w:firstLineChars="20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bidi="ar-SA"/>
              </w:rPr>
              <w:t>计算分值时，百分比按四舍五入原则，保留小数点后两位数。</w:t>
            </w:r>
          </w:p>
        </w:tc>
        <w:tc>
          <w:tcPr>
            <w:tcW w:w="962" w:type="dxa"/>
            <w:tcMar>
              <w:top w:w="0" w:type="dxa"/>
              <w:left w:w="108" w:type="dxa"/>
              <w:bottom w:w="0" w:type="dxa"/>
              <w:right w:w="108" w:type="dxa"/>
            </w:tcMar>
            <w:vAlign w:val="center"/>
          </w:tcPr>
          <w:p w14:paraId="5808E540">
            <w:pPr>
              <w:widowControl/>
              <w:wordWrap w:val="0"/>
              <w:jc w:val="both"/>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35</w:t>
            </w:r>
            <w:r>
              <w:rPr>
                <w:rFonts w:hint="eastAsia" w:ascii="仿宋" w:hAnsi="仿宋" w:eastAsia="仿宋" w:cs="仿宋"/>
                <w:b w:val="0"/>
                <w:bCs w:val="0"/>
                <w:color w:val="auto"/>
                <w:kern w:val="0"/>
                <w:sz w:val="24"/>
                <w:szCs w:val="24"/>
              </w:rPr>
              <w:t>分</w:t>
            </w:r>
          </w:p>
        </w:tc>
      </w:tr>
      <w:tr w14:paraId="42A3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9373" w:type="dxa"/>
            <w:gridSpan w:val="3"/>
            <w:tcMar>
              <w:top w:w="0" w:type="dxa"/>
              <w:left w:w="108" w:type="dxa"/>
              <w:bottom w:w="0" w:type="dxa"/>
              <w:right w:w="108" w:type="dxa"/>
            </w:tcMar>
            <w:vAlign w:val="center"/>
          </w:tcPr>
          <w:p w14:paraId="70530D78">
            <w:pPr>
              <w:widowControl/>
              <w:wordWrap w:val="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二、技术</w:t>
            </w:r>
            <w:r>
              <w:rPr>
                <w:rFonts w:hint="eastAsia" w:ascii="仿宋" w:hAnsi="仿宋" w:eastAsia="仿宋" w:cs="仿宋"/>
                <w:b w:val="0"/>
                <w:bCs w:val="0"/>
                <w:color w:val="auto"/>
                <w:kern w:val="0"/>
                <w:sz w:val="24"/>
                <w:szCs w:val="24"/>
                <w:lang w:val="en-US" w:eastAsia="zh-CN"/>
              </w:rPr>
              <w:t>服务分65</w:t>
            </w:r>
            <w:r>
              <w:rPr>
                <w:rFonts w:hint="eastAsia" w:ascii="仿宋" w:hAnsi="仿宋" w:eastAsia="仿宋" w:cs="仿宋"/>
                <w:b w:val="0"/>
                <w:bCs w:val="0"/>
                <w:color w:val="auto"/>
                <w:kern w:val="0"/>
                <w:sz w:val="24"/>
                <w:szCs w:val="24"/>
              </w:rPr>
              <w:t>分</w:t>
            </w:r>
          </w:p>
        </w:tc>
      </w:tr>
      <w:tr w14:paraId="186F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8" w:type="dxa"/>
            <w:shd w:val="clear" w:color="auto" w:fill="auto"/>
            <w:tcMar>
              <w:top w:w="0" w:type="dxa"/>
              <w:left w:w="108" w:type="dxa"/>
              <w:bottom w:w="0" w:type="dxa"/>
              <w:right w:w="108" w:type="dxa"/>
            </w:tcMar>
            <w:vAlign w:val="center"/>
          </w:tcPr>
          <w:p w14:paraId="2B6C263E">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2</w:t>
            </w: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val="en-US" w:eastAsia="zh-CN"/>
              </w:rPr>
              <w:t>供应货品安全措施</w:t>
            </w:r>
          </w:p>
          <w:p w14:paraId="0A6A73FE">
            <w:pPr>
              <w:widowControl/>
              <w:wordWrap w:val="0"/>
              <w:jc w:val="center"/>
              <w:rPr>
                <w:rFonts w:hint="eastAsia" w:ascii="仿宋" w:hAnsi="仿宋" w:eastAsia="仿宋" w:cs="仿宋"/>
                <w:b w:val="0"/>
                <w:bCs w:val="0"/>
                <w:color w:val="auto"/>
                <w:kern w:val="0"/>
                <w:sz w:val="24"/>
                <w:szCs w:val="24"/>
                <w:lang w:val="en-US" w:eastAsia="zh-CN" w:bidi="ar-SA"/>
              </w:rPr>
            </w:pPr>
          </w:p>
        </w:tc>
        <w:tc>
          <w:tcPr>
            <w:tcW w:w="7473" w:type="dxa"/>
            <w:shd w:val="clear" w:color="auto" w:fill="auto"/>
            <w:tcMar>
              <w:top w:w="0" w:type="dxa"/>
              <w:left w:w="108" w:type="dxa"/>
              <w:bottom w:w="0" w:type="dxa"/>
              <w:right w:w="108" w:type="dxa"/>
            </w:tcMar>
            <w:vAlign w:val="top"/>
          </w:tcPr>
          <w:p w14:paraId="029EFF64">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评审小组根据供应商提供的供应货品安全措施内容方面进行评价。包括进货采购渠道、供应货品控制管理措施、供应货品质量标准、追溯方式等情况进行比较综合评分。</w:t>
            </w:r>
          </w:p>
          <w:p w14:paraId="2CC728E1">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一档（</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lang w:eastAsia="zh-CN"/>
              </w:rPr>
              <w:t>分）：对进货采购渠道虽有固定货源但不稳定，供应货品控制管理措施不完善，质量安全保证措施有针对性但不明显，无服务特点，方案基本完整、供应货品质量标准、追溯方式这几个方面描述简单或不完善；</w:t>
            </w:r>
          </w:p>
          <w:p w14:paraId="462ED32A">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二档（</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lang w:eastAsia="zh-CN"/>
              </w:rPr>
              <w:t>分）：对进货采购渠道有固定货源且货源稳定，供应货品控制管理措施比较完善，质量安全保证措施有针对性但不突出，服务特点较明确，方案有一定的针对性，供应货品质量标准、追溯方式这几个方面描述较清晰、较详细；</w:t>
            </w:r>
          </w:p>
          <w:p w14:paraId="676BC7A3">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三档（</w:t>
            </w: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lang w:eastAsia="zh-CN"/>
              </w:rPr>
              <w:t>分）：对进货采购渠道有固定货源且货源稳定，供应货品控制管理措施完善，质量安全保证措施比较有针对性和服务特点，方案较完整、较具体，供应货品质量标准、追溯方式这几个方面描述清晰，详细；</w:t>
            </w:r>
          </w:p>
          <w:p w14:paraId="01A0CCE1">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color w:val="auto"/>
                <w:kern w:val="0"/>
                <w:sz w:val="24"/>
                <w:szCs w:val="24"/>
                <w:lang w:eastAsia="zh-CN"/>
              </w:rPr>
              <w:t>四档（</w:t>
            </w:r>
            <w:r>
              <w:rPr>
                <w:rFonts w:hint="eastAsia" w:ascii="仿宋" w:hAnsi="仿宋" w:eastAsia="仿宋" w:cs="仿宋"/>
                <w:color w:val="auto"/>
                <w:kern w:val="0"/>
                <w:sz w:val="24"/>
                <w:szCs w:val="24"/>
                <w:lang w:val="en-US" w:eastAsia="zh-CN"/>
              </w:rPr>
              <w:t>20</w:t>
            </w:r>
            <w:r>
              <w:rPr>
                <w:rFonts w:hint="eastAsia" w:ascii="仿宋" w:hAnsi="仿宋" w:eastAsia="仿宋" w:cs="仿宋"/>
                <w:color w:val="auto"/>
                <w:kern w:val="0"/>
                <w:sz w:val="24"/>
                <w:szCs w:val="24"/>
                <w:lang w:eastAsia="zh-CN"/>
              </w:rPr>
              <w:t>分）：对进货采购渠道有固定货源且货源稳定充足，供应货品控制管理措施完善，质量安全保证措施有针对性和服务特点，方案完整、清晰、具体、科学、合理、切实可行，供应货品质量标准、追溯方式这几个方面全部描述清晰，详细。</w:t>
            </w:r>
          </w:p>
        </w:tc>
        <w:tc>
          <w:tcPr>
            <w:tcW w:w="962" w:type="dxa"/>
            <w:shd w:val="clear" w:color="auto" w:fill="auto"/>
            <w:tcMar>
              <w:top w:w="0" w:type="dxa"/>
              <w:left w:w="108" w:type="dxa"/>
              <w:bottom w:w="0" w:type="dxa"/>
              <w:right w:w="108" w:type="dxa"/>
            </w:tcMar>
            <w:vAlign w:val="center"/>
          </w:tcPr>
          <w:p w14:paraId="30650241">
            <w:pPr>
              <w:widowControl/>
              <w:wordWrap w:val="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20</w:t>
            </w:r>
            <w:r>
              <w:rPr>
                <w:rFonts w:hint="eastAsia" w:ascii="仿宋" w:hAnsi="仿宋" w:eastAsia="仿宋" w:cs="仿宋"/>
                <w:b w:val="0"/>
                <w:bCs w:val="0"/>
                <w:color w:val="auto"/>
                <w:kern w:val="0"/>
                <w:sz w:val="24"/>
                <w:szCs w:val="24"/>
              </w:rPr>
              <w:t>分</w:t>
            </w:r>
          </w:p>
        </w:tc>
      </w:tr>
      <w:tr w14:paraId="1844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8" w:type="dxa"/>
            <w:shd w:val="clear" w:color="auto" w:fill="auto"/>
            <w:tcMar>
              <w:top w:w="0" w:type="dxa"/>
              <w:left w:w="108" w:type="dxa"/>
              <w:bottom w:w="0" w:type="dxa"/>
              <w:right w:w="108" w:type="dxa"/>
            </w:tcMar>
            <w:vAlign w:val="center"/>
          </w:tcPr>
          <w:p w14:paraId="31770296">
            <w:pPr>
              <w:widowControl/>
              <w:wordWrap w:val="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3、配送方案</w:t>
            </w:r>
          </w:p>
        </w:tc>
        <w:tc>
          <w:tcPr>
            <w:tcW w:w="7473" w:type="dxa"/>
            <w:shd w:val="clear" w:color="auto" w:fill="auto"/>
            <w:tcMar>
              <w:top w:w="0" w:type="dxa"/>
              <w:left w:w="108" w:type="dxa"/>
              <w:bottom w:w="0" w:type="dxa"/>
              <w:right w:w="108" w:type="dxa"/>
            </w:tcMar>
            <w:vAlign w:val="top"/>
          </w:tcPr>
          <w:p w14:paraId="688ED766">
            <w:pPr>
              <w:widowControl/>
              <w:wordWrap w:val="0"/>
              <w:ind w:firstLine="64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由</w:t>
            </w:r>
            <w:r>
              <w:rPr>
                <w:rFonts w:hint="eastAsia" w:ascii="仿宋" w:hAnsi="仿宋" w:eastAsia="仿宋" w:cs="仿宋"/>
                <w:b w:val="0"/>
                <w:bCs w:val="0"/>
                <w:color w:val="auto"/>
                <w:kern w:val="0"/>
                <w:sz w:val="24"/>
                <w:szCs w:val="24"/>
                <w:lang w:eastAsia="zh-CN"/>
              </w:rPr>
              <w:t>评审小组</w:t>
            </w:r>
            <w:r>
              <w:rPr>
                <w:rFonts w:hint="eastAsia" w:ascii="仿宋" w:hAnsi="仿宋" w:eastAsia="仿宋" w:cs="仿宋"/>
                <w:b w:val="0"/>
                <w:bCs w:val="0"/>
                <w:color w:val="auto"/>
                <w:kern w:val="0"/>
                <w:sz w:val="24"/>
                <w:szCs w:val="24"/>
              </w:rPr>
              <w:t>在打分前根据各</w:t>
            </w:r>
            <w:r>
              <w:rPr>
                <w:rFonts w:hint="eastAsia" w:ascii="仿宋" w:hAnsi="仿宋" w:eastAsia="仿宋" w:cs="仿宋"/>
                <w:b w:val="0"/>
                <w:bCs w:val="0"/>
                <w:color w:val="auto"/>
                <w:kern w:val="0"/>
                <w:sz w:val="24"/>
                <w:szCs w:val="24"/>
                <w:lang w:eastAsia="zh-CN"/>
              </w:rPr>
              <w:t>响应人</w:t>
            </w:r>
            <w:r>
              <w:rPr>
                <w:rFonts w:hint="eastAsia" w:ascii="仿宋" w:hAnsi="仿宋" w:eastAsia="仿宋" w:cs="仿宋"/>
                <w:b w:val="0"/>
                <w:bCs w:val="0"/>
                <w:color w:val="auto"/>
                <w:kern w:val="0"/>
                <w:sz w:val="24"/>
                <w:szCs w:val="24"/>
              </w:rPr>
              <w:t>的配送方案确定各</w:t>
            </w:r>
            <w:r>
              <w:rPr>
                <w:rFonts w:hint="eastAsia" w:ascii="仿宋" w:hAnsi="仿宋" w:eastAsia="仿宋" w:cs="仿宋"/>
                <w:b w:val="0"/>
                <w:bCs w:val="0"/>
                <w:color w:val="auto"/>
                <w:kern w:val="0"/>
                <w:sz w:val="24"/>
                <w:szCs w:val="24"/>
                <w:lang w:eastAsia="zh-CN"/>
              </w:rPr>
              <w:t>响应人</w:t>
            </w:r>
            <w:r>
              <w:rPr>
                <w:rFonts w:hint="eastAsia" w:ascii="仿宋" w:hAnsi="仿宋" w:eastAsia="仿宋" w:cs="仿宋"/>
                <w:b w:val="0"/>
                <w:bCs w:val="0"/>
                <w:color w:val="auto"/>
                <w:kern w:val="0"/>
                <w:sz w:val="24"/>
                <w:szCs w:val="24"/>
              </w:rPr>
              <w:t>所属档次并打分，达不到一档要求的不得分。</w:t>
            </w:r>
          </w:p>
          <w:p w14:paraId="34D0393B">
            <w:pPr>
              <w:widowControl/>
              <w:wordWrap w:val="0"/>
              <w:ind w:firstLine="640"/>
              <w:jc w:val="left"/>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rPr>
              <w:t>一档(</w:t>
            </w:r>
            <w:r>
              <w:rPr>
                <w:rFonts w:hint="eastAsia" w:ascii="仿宋" w:hAnsi="仿宋" w:eastAsia="仿宋" w:cs="仿宋"/>
                <w:b w:val="0"/>
                <w:bCs w:val="0"/>
                <w:color w:val="auto"/>
                <w:kern w:val="0"/>
                <w:sz w:val="24"/>
                <w:szCs w:val="24"/>
                <w:lang w:val="en-US" w:eastAsia="zh-CN"/>
              </w:rPr>
              <w:t>5</w:t>
            </w:r>
            <w:r>
              <w:rPr>
                <w:rFonts w:hint="eastAsia" w:ascii="仿宋" w:hAnsi="仿宋" w:eastAsia="仿宋" w:cs="仿宋"/>
                <w:b w:val="0"/>
                <w:bCs w:val="0"/>
                <w:color w:val="auto"/>
                <w:kern w:val="0"/>
                <w:sz w:val="24"/>
                <w:szCs w:val="24"/>
              </w:rPr>
              <w:t xml:space="preserve"> 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rPr>
              <w:t>配送服务方案基本满足要求</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如</w:t>
            </w:r>
            <w:r>
              <w:rPr>
                <w:rFonts w:hint="eastAsia" w:ascii="仿宋" w:hAnsi="仿宋" w:eastAsia="仿宋" w:cs="仿宋"/>
                <w:b w:val="0"/>
                <w:bCs w:val="0"/>
                <w:color w:val="auto"/>
                <w:sz w:val="24"/>
                <w:szCs w:val="24"/>
              </w:rPr>
              <w:t>配送计划、配送路线、进度控制措施</w:t>
            </w:r>
            <w:r>
              <w:rPr>
                <w:rFonts w:hint="eastAsia" w:ascii="仿宋" w:hAnsi="仿宋" w:eastAsia="仿宋" w:cs="仿宋"/>
                <w:b w:val="0"/>
                <w:bCs w:val="0"/>
                <w:color w:val="auto"/>
                <w:sz w:val="24"/>
                <w:szCs w:val="24"/>
                <w:lang w:val="en-US" w:eastAsia="zh-CN"/>
              </w:rPr>
              <w:t>等</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、描述简单，基本保证配送服务</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对问题</w:t>
            </w:r>
            <w:r>
              <w:rPr>
                <w:rFonts w:hint="eastAsia" w:ascii="仿宋" w:hAnsi="仿宋" w:eastAsia="仿宋" w:cs="仿宋"/>
                <w:b w:val="0"/>
                <w:bCs w:val="0"/>
                <w:color w:val="auto"/>
                <w:kern w:val="0"/>
                <w:sz w:val="24"/>
                <w:szCs w:val="24"/>
                <w:lang w:val="en-US" w:eastAsia="zh-CN"/>
              </w:rPr>
              <w:t>供应货品</w:t>
            </w:r>
            <w:r>
              <w:rPr>
                <w:rFonts w:hint="eastAsia" w:ascii="仿宋" w:hAnsi="仿宋" w:eastAsia="仿宋" w:cs="仿宋"/>
                <w:b w:val="0"/>
                <w:bCs w:val="0"/>
                <w:color w:val="auto"/>
                <w:kern w:val="0"/>
                <w:sz w:val="24"/>
                <w:szCs w:val="24"/>
              </w:rPr>
              <w:t>发生紧急事件处理预案内容差、基本可行的</w:t>
            </w:r>
            <w:r>
              <w:rPr>
                <w:rFonts w:hint="eastAsia" w:ascii="仿宋" w:hAnsi="仿宋" w:eastAsia="仿宋" w:cs="仿宋"/>
                <w:b w:val="0"/>
                <w:bCs w:val="0"/>
                <w:color w:val="auto"/>
                <w:kern w:val="0"/>
                <w:sz w:val="24"/>
                <w:szCs w:val="24"/>
                <w:lang w:eastAsia="zh-CN"/>
              </w:rPr>
              <w:t>；</w:t>
            </w:r>
          </w:p>
          <w:p w14:paraId="0CB732D9">
            <w:pPr>
              <w:widowControl/>
              <w:wordWrap w:val="0"/>
              <w:ind w:firstLine="64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二档(</w:t>
            </w:r>
            <w:r>
              <w:rPr>
                <w:rFonts w:hint="eastAsia" w:ascii="仿宋" w:hAnsi="仿宋" w:eastAsia="仿宋" w:cs="仿宋"/>
                <w:b w:val="0"/>
                <w:bCs w:val="0"/>
                <w:color w:val="auto"/>
                <w:kern w:val="0"/>
                <w:sz w:val="24"/>
                <w:szCs w:val="24"/>
                <w:lang w:val="en-US" w:eastAsia="zh-CN"/>
              </w:rPr>
              <w:t>10</w:t>
            </w:r>
            <w:r>
              <w:rPr>
                <w:rFonts w:hint="eastAsia" w:ascii="仿宋" w:hAnsi="仿宋" w:eastAsia="仿宋" w:cs="仿宋"/>
                <w:b w:val="0"/>
                <w:bCs w:val="0"/>
                <w:color w:val="auto"/>
                <w:kern w:val="0"/>
                <w:sz w:val="24"/>
                <w:szCs w:val="24"/>
              </w:rPr>
              <w:t xml:space="preserve"> 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rPr>
              <w:t>项目配送体系、供货时间安排合理，有较完善的配送服务方案</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如</w:t>
            </w:r>
            <w:r>
              <w:rPr>
                <w:rFonts w:hint="eastAsia" w:ascii="仿宋" w:hAnsi="仿宋" w:eastAsia="仿宋" w:cs="仿宋"/>
                <w:b w:val="0"/>
                <w:bCs w:val="0"/>
                <w:color w:val="auto"/>
                <w:sz w:val="24"/>
                <w:szCs w:val="24"/>
              </w:rPr>
              <w:t>配送计划、配送路线、进度控制措施</w:t>
            </w:r>
            <w:r>
              <w:rPr>
                <w:rFonts w:hint="eastAsia" w:ascii="仿宋" w:hAnsi="仿宋" w:eastAsia="仿宋" w:cs="仿宋"/>
                <w:b w:val="0"/>
                <w:bCs w:val="0"/>
                <w:color w:val="auto"/>
                <w:sz w:val="24"/>
                <w:szCs w:val="24"/>
                <w:lang w:val="en-US" w:eastAsia="zh-CN"/>
              </w:rPr>
              <w:t>等</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，描述较详细</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具体实施步骤和要求描述较详细</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sz w:val="24"/>
                <w:szCs w:val="24"/>
              </w:rPr>
              <w:t>有具体的配送服务承诺</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需提供承诺函</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kern w:val="0"/>
                <w:sz w:val="24"/>
                <w:szCs w:val="24"/>
              </w:rPr>
              <w:t>在保证配送服务业务外有机动人员用于对紧急事件处理，对配送及应急处理响应快，对问题</w:t>
            </w:r>
            <w:r>
              <w:rPr>
                <w:rFonts w:hint="eastAsia" w:ascii="仿宋" w:hAnsi="仿宋" w:eastAsia="仿宋" w:cs="仿宋"/>
                <w:b w:val="0"/>
                <w:bCs w:val="0"/>
                <w:color w:val="auto"/>
                <w:kern w:val="0"/>
                <w:sz w:val="24"/>
                <w:szCs w:val="24"/>
                <w:lang w:val="en-US" w:eastAsia="zh-CN"/>
              </w:rPr>
              <w:t>供应货品</w:t>
            </w:r>
            <w:r>
              <w:rPr>
                <w:rFonts w:hint="eastAsia" w:ascii="仿宋" w:hAnsi="仿宋" w:eastAsia="仿宋" w:cs="仿宋"/>
                <w:b w:val="0"/>
                <w:bCs w:val="0"/>
                <w:color w:val="auto"/>
                <w:kern w:val="0"/>
                <w:sz w:val="24"/>
                <w:szCs w:val="24"/>
              </w:rPr>
              <w:t>发生紧急事件处理预案内容具体，有一定针对性;</w:t>
            </w:r>
          </w:p>
          <w:p w14:paraId="690A17CE">
            <w:pPr>
              <w:widowControl/>
              <w:wordWrap w:val="0"/>
              <w:ind w:firstLine="640" w:firstLineChars="0"/>
              <w:jc w:val="left"/>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rPr>
              <w:t>三档(</w:t>
            </w:r>
            <w:r>
              <w:rPr>
                <w:rFonts w:hint="eastAsia" w:ascii="仿宋" w:hAnsi="仿宋" w:eastAsia="仿宋" w:cs="仿宋"/>
                <w:b w:val="0"/>
                <w:bCs w:val="0"/>
                <w:color w:val="auto"/>
                <w:kern w:val="0"/>
                <w:sz w:val="24"/>
                <w:szCs w:val="24"/>
                <w:lang w:val="en-US" w:eastAsia="zh-CN"/>
              </w:rPr>
              <w:t>15</w:t>
            </w:r>
            <w:r>
              <w:rPr>
                <w:rFonts w:hint="eastAsia" w:ascii="仿宋" w:hAnsi="仿宋" w:eastAsia="仿宋" w:cs="仿宋"/>
                <w:b w:val="0"/>
                <w:bCs w:val="0"/>
                <w:color w:val="auto"/>
                <w:kern w:val="0"/>
                <w:sz w:val="24"/>
                <w:szCs w:val="24"/>
              </w:rPr>
              <w:t xml:space="preserve"> 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rPr>
              <w:t>配送工作体系健全完善，配送供货时间安排科学合理，针对项目实际情况，能提供全面细致、可靠的管理制度、配送服务方案</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如</w:t>
            </w:r>
            <w:r>
              <w:rPr>
                <w:rFonts w:hint="eastAsia" w:ascii="仿宋" w:hAnsi="仿宋" w:eastAsia="仿宋" w:cs="仿宋"/>
                <w:b w:val="0"/>
                <w:bCs w:val="0"/>
                <w:color w:val="auto"/>
                <w:sz w:val="24"/>
                <w:szCs w:val="24"/>
              </w:rPr>
              <w:t>配送计划、配送路线、进度控制措施</w:t>
            </w:r>
            <w:r>
              <w:rPr>
                <w:rFonts w:hint="eastAsia" w:ascii="仿宋" w:hAnsi="仿宋" w:eastAsia="仿宋" w:cs="仿宋"/>
                <w:b w:val="0"/>
                <w:bCs w:val="0"/>
                <w:color w:val="auto"/>
                <w:sz w:val="24"/>
                <w:szCs w:val="24"/>
                <w:lang w:val="en-US" w:eastAsia="zh-CN"/>
              </w:rPr>
              <w:t>等</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，描述详细，具体实施步骤和要求描述全面，可行性强，充分优于本项目需求</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sz w:val="24"/>
                <w:szCs w:val="24"/>
              </w:rPr>
              <w:t>具有明确有具体时间的配送服务承诺 （能承诺说明各个阶段工作安排）及被</w:t>
            </w:r>
            <w:r>
              <w:rPr>
                <w:rFonts w:hint="eastAsia" w:ascii="仿宋" w:hAnsi="仿宋" w:eastAsia="仿宋" w:cs="仿宋"/>
                <w:b w:val="0"/>
                <w:bCs w:val="0"/>
                <w:color w:val="auto"/>
                <w:sz w:val="24"/>
                <w:szCs w:val="24"/>
                <w:lang w:eastAsia="zh-CN"/>
              </w:rPr>
              <w:t>评审小组</w:t>
            </w:r>
            <w:r>
              <w:rPr>
                <w:rFonts w:hint="eastAsia" w:ascii="仿宋" w:hAnsi="仿宋" w:eastAsia="仿宋" w:cs="仿宋"/>
                <w:b w:val="0"/>
                <w:bCs w:val="0"/>
                <w:color w:val="auto"/>
                <w:sz w:val="24"/>
                <w:szCs w:val="24"/>
              </w:rPr>
              <w:t>认可的增值服务承诺的，方案可行高</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工作计划周密，人员配备充足，能提供合理的验收方案</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kern w:val="0"/>
                <w:sz w:val="24"/>
                <w:szCs w:val="24"/>
              </w:rPr>
              <w:t>对问题</w:t>
            </w:r>
            <w:r>
              <w:rPr>
                <w:rFonts w:hint="eastAsia" w:ascii="仿宋" w:hAnsi="仿宋" w:eastAsia="仿宋" w:cs="仿宋"/>
                <w:b w:val="0"/>
                <w:bCs w:val="0"/>
                <w:color w:val="auto"/>
                <w:kern w:val="0"/>
                <w:sz w:val="24"/>
                <w:szCs w:val="24"/>
                <w:lang w:eastAsia="zh-CN"/>
              </w:rPr>
              <w:t>供应货品</w:t>
            </w:r>
            <w:r>
              <w:rPr>
                <w:rFonts w:hint="eastAsia" w:ascii="仿宋" w:hAnsi="仿宋" w:eastAsia="仿宋" w:cs="仿宋"/>
                <w:b w:val="0"/>
                <w:bCs w:val="0"/>
                <w:color w:val="auto"/>
                <w:kern w:val="0"/>
                <w:sz w:val="24"/>
                <w:szCs w:val="24"/>
              </w:rPr>
              <w:t>发生紧急事件处理预案内容的具体、全面</w:t>
            </w:r>
            <w:r>
              <w:rPr>
                <w:rFonts w:hint="eastAsia" w:ascii="仿宋" w:hAnsi="仿宋" w:eastAsia="仿宋" w:cs="仿宋"/>
                <w:b w:val="0"/>
                <w:bCs w:val="0"/>
                <w:color w:val="auto"/>
                <w:kern w:val="0"/>
                <w:sz w:val="24"/>
                <w:szCs w:val="24"/>
                <w:lang w:eastAsia="zh-CN"/>
              </w:rPr>
              <w:t>。</w:t>
            </w:r>
          </w:p>
        </w:tc>
        <w:tc>
          <w:tcPr>
            <w:tcW w:w="962" w:type="dxa"/>
            <w:shd w:val="clear" w:color="auto" w:fill="auto"/>
            <w:tcMar>
              <w:top w:w="0" w:type="dxa"/>
              <w:left w:w="108" w:type="dxa"/>
              <w:bottom w:w="0" w:type="dxa"/>
              <w:right w:w="108" w:type="dxa"/>
            </w:tcMar>
            <w:vAlign w:val="center"/>
          </w:tcPr>
          <w:p w14:paraId="6B1DF257">
            <w:pPr>
              <w:widowControl/>
              <w:wordWrap w:val="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15</w:t>
            </w:r>
            <w:r>
              <w:rPr>
                <w:rFonts w:hint="eastAsia" w:ascii="仿宋" w:hAnsi="仿宋" w:eastAsia="仿宋" w:cs="仿宋"/>
                <w:b w:val="0"/>
                <w:bCs w:val="0"/>
                <w:color w:val="auto"/>
                <w:kern w:val="0"/>
                <w:sz w:val="24"/>
                <w:szCs w:val="24"/>
              </w:rPr>
              <w:t>分</w:t>
            </w:r>
          </w:p>
        </w:tc>
      </w:tr>
      <w:tr w14:paraId="7EF0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8" w:type="dxa"/>
            <w:tcMar>
              <w:top w:w="0" w:type="dxa"/>
              <w:left w:w="108" w:type="dxa"/>
              <w:bottom w:w="0" w:type="dxa"/>
              <w:right w:w="108" w:type="dxa"/>
            </w:tcMar>
            <w:vAlign w:val="center"/>
          </w:tcPr>
          <w:p w14:paraId="0F67408A">
            <w:pPr>
              <w:widowControl/>
              <w:numPr>
                <w:ilvl w:val="0"/>
                <w:numId w:val="0"/>
              </w:numPr>
              <w:wordWrap w:val="0"/>
              <w:ind w:leftChars="0"/>
              <w:jc w:val="left"/>
              <w:rPr>
                <w:rFonts w:hint="eastAsia" w:ascii="仿宋" w:hAnsi="仿宋" w:eastAsia="仿宋" w:cs="仿宋"/>
                <w:b w:val="0"/>
                <w:bCs w:val="0"/>
                <w:color w:val="auto"/>
                <w:sz w:val="21"/>
                <w:szCs w:val="24"/>
                <w:lang w:val="en-US" w:eastAsia="zh-CN"/>
              </w:rPr>
            </w:pPr>
            <w:r>
              <w:rPr>
                <w:rFonts w:hint="eastAsia" w:ascii="仿宋" w:hAnsi="仿宋" w:eastAsia="仿宋" w:cs="仿宋"/>
                <w:b w:val="0"/>
                <w:bCs w:val="0"/>
                <w:color w:val="auto"/>
                <w:kern w:val="0"/>
                <w:sz w:val="24"/>
                <w:szCs w:val="24"/>
                <w:lang w:val="en-US" w:eastAsia="zh-CN"/>
              </w:rPr>
              <w:t>4、售后服务方案</w:t>
            </w:r>
          </w:p>
        </w:tc>
        <w:tc>
          <w:tcPr>
            <w:tcW w:w="7473" w:type="dxa"/>
            <w:tcMar>
              <w:top w:w="0" w:type="dxa"/>
              <w:left w:w="108" w:type="dxa"/>
              <w:bottom w:w="0" w:type="dxa"/>
              <w:right w:w="108" w:type="dxa"/>
            </w:tcMar>
          </w:tcPr>
          <w:p w14:paraId="29FE368B">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评审小组</w:t>
            </w:r>
            <w:r>
              <w:rPr>
                <w:rFonts w:hint="eastAsia" w:ascii="仿宋" w:hAnsi="仿宋" w:eastAsia="仿宋" w:cs="仿宋"/>
                <w:b w:val="0"/>
                <w:bCs w:val="0"/>
                <w:color w:val="auto"/>
                <w:sz w:val="24"/>
                <w:szCs w:val="24"/>
              </w:rPr>
              <w:t>根据</w:t>
            </w:r>
            <w:r>
              <w:rPr>
                <w:rFonts w:hint="eastAsia" w:ascii="仿宋" w:hAnsi="仿宋" w:eastAsia="仿宋" w:cs="仿宋"/>
                <w:b w:val="0"/>
                <w:bCs w:val="0"/>
                <w:color w:val="auto"/>
                <w:sz w:val="24"/>
                <w:szCs w:val="24"/>
                <w:lang w:eastAsia="zh-CN"/>
              </w:rPr>
              <w:t>响应人</w:t>
            </w:r>
            <w:r>
              <w:rPr>
                <w:rFonts w:hint="eastAsia" w:ascii="仿宋" w:hAnsi="仿宋" w:eastAsia="仿宋" w:cs="仿宋"/>
                <w:b w:val="0"/>
                <w:bCs w:val="0"/>
                <w:color w:val="auto"/>
                <w:sz w:val="24"/>
                <w:szCs w:val="24"/>
              </w:rPr>
              <w:t>提供的售后服务方案（包括承诺如何确保按期按质按量供货、出现问题时如何采取相应的措施、如何保障后期服务等</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须</w:t>
            </w:r>
            <w:r>
              <w:rPr>
                <w:rFonts w:hint="eastAsia" w:ascii="仿宋" w:hAnsi="仿宋" w:eastAsia="仿宋" w:cs="仿宋"/>
                <w:color w:val="auto"/>
                <w:sz w:val="24"/>
              </w:rPr>
              <w:t>提供</w:t>
            </w:r>
            <w:r>
              <w:rPr>
                <w:rFonts w:hint="eastAsia" w:ascii="仿宋" w:hAnsi="仿宋" w:eastAsia="仿宋" w:cs="仿宋"/>
                <w:color w:val="auto"/>
                <w:sz w:val="24"/>
                <w:lang w:val="en-US" w:eastAsia="zh-CN"/>
              </w:rPr>
              <w:t>售后服务</w:t>
            </w:r>
            <w:r>
              <w:rPr>
                <w:rFonts w:hint="eastAsia" w:ascii="仿宋" w:hAnsi="仿宋" w:eastAsia="仿宋" w:cs="仿宋"/>
                <w:color w:val="auto"/>
                <w:sz w:val="24"/>
              </w:rPr>
              <w:t>承诺函（格式自拟）</w:t>
            </w:r>
            <w:r>
              <w:rPr>
                <w:rFonts w:hint="eastAsia" w:ascii="仿宋" w:hAnsi="仿宋" w:eastAsia="仿宋" w:cs="仿宋"/>
                <w:b w:val="0"/>
                <w:bCs w:val="0"/>
                <w:color w:val="auto"/>
                <w:sz w:val="24"/>
                <w:szCs w:val="24"/>
              </w:rPr>
              <w:t>）内容进行打分：由</w:t>
            </w:r>
            <w:r>
              <w:rPr>
                <w:rFonts w:hint="eastAsia" w:ascii="仿宋" w:hAnsi="仿宋" w:eastAsia="仿宋" w:cs="仿宋"/>
                <w:b w:val="0"/>
                <w:bCs w:val="0"/>
                <w:color w:val="auto"/>
                <w:sz w:val="24"/>
                <w:szCs w:val="24"/>
                <w:lang w:eastAsia="zh-CN"/>
              </w:rPr>
              <w:t>评审小组</w:t>
            </w:r>
            <w:r>
              <w:rPr>
                <w:rFonts w:hint="eastAsia" w:ascii="仿宋" w:hAnsi="仿宋" w:eastAsia="仿宋" w:cs="仿宋"/>
                <w:b w:val="0"/>
                <w:bCs w:val="0"/>
                <w:color w:val="auto"/>
                <w:sz w:val="24"/>
                <w:szCs w:val="24"/>
              </w:rPr>
              <w:t>在打分前根据各</w:t>
            </w:r>
            <w:r>
              <w:rPr>
                <w:rFonts w:hint="eastAsia" w:ascii="仿宋" w:hAnsi="仿宋" w:eastAsia="仿宋" w:cs="仿宋"/>
                <w:b w:val="0"/>
                <w:bCs w:val="0"/>
                <w:color w:val="auto"/>
                <w:sz w:val="24"/>
                <w:szCs w:val="24"/>
                <w:lang w:eastAsia="zh-CN"/>
              </w:rPr>
              <w:t>响应人</w:t>
            </w:r>
            <w:r>
              <w:rPr>
                <w:rFonts w:hint="eastAsia" w:ascii="仿宋" w:hAnsi="仿宋" w:eastAsia="仿宋" w:cs="仿宋"/>
                <w:b w:val="0"/>
                <w:bCs w:val="0"/>
                <w:color w:val="auto"/>
                <w:sz w:val="24"/>
                <w:szCs w:val="24"/>
              </w:rPr>
              <w:t>的售后服务方案（对售后服务要求的</w:t>
            </w:r>
            <w:r>
              <w:rPr>
                <w:rFonts w:hint="eastAsia" w:ascii="仿宋" w:hAnsi="仿宋" w:eastAsia="仿宋" w:cs="仿宋"/>
                <w:b w:val="0"/>
                <w:bCs w:val="0"/>
                <w:color w:val="auto"/>
                <w:sz w:val="24"/>
                <w:szCs w:val="24"/>
                <w:lang w:val="en-US" w:eastAsia="zh-CN"/>
              </w:rPr>
              <w:t>应急</w:t>
            </w:r>
            <w:r>
              <w:rPr>
                <w:rFonts w:hint="eastAsia" w:ascii="仿宋" w:hAnsi="仿宋" w:eastAsia="仿宋" w:cs="仿宋"/>
                <w:b w:val="0"/>
                <w:bCs w:val="0"/>
                <w:color w:val="auto"/>
                <w:sz w:val="24"/>
                <w:szCs w:val="24"/>
              </w:rPr>
              <w:t>响应程度及提供的服务承诺</w:t>
            </w:r>
            <w:r>
              <w:rPr>
                <w:rFonts w:hint="eastAsia" w:ascii="仿宋" w:hAnsi="仿宋" w:eastAsia="仿宋" w:cs="仿宋"/>
                <w:b w:val="0"/>
                <w:bCs w:val="0"/>
                <w:color w:val="auto"/>
                <w:sz w:val="24"/>
                <w:szCs w:val="24"/>
                <w:lang w:val="en-US" w:eastAsia="zh-CN"/>
              </w:rPr>
              <w:t>方</w:t>
            </w:r>
            <w:r>
              <w:rPr>
                <w:rFonts w:hint="eastAsia" w:ascii="仿宋" w:hAnsi="仿宋" w:eastAsia="仿宋" w:cs="仿宋"/>
                <w:b w:val="0"/>
                <w:bCs w:val="0"/>
                <w:color w:val="auto"/>
                <w:sz w:val="24"/>
                <w:szCs w:val="24"/>
              </w:rPr>
              <w:t>案、售后服务等措施）确定各</w:t>
            </w:r>
            <w:r>
              <w:rPr>
                <w:rFonts w:hint="eastAsia" w:ascii="仿宋" w:hAnsi="仿宋" w:eastAsia="仿宋" w:cs="仿宋"/>
                <w:b w:val="0"/>
                <w:bCs w:val="0"/>
                <w:color w:val="auto"/>
                <w:sz w:val="24"/>
                <w:szCs w:val="24"/>
                <w:lang w:eastAsia="zh-CN"/>
              </w:rPr>
              <w:t>响应人</w:t>
            </w:r>
            <w:r>
              <w:rPr>
                <w:rFonts w:hint="eastAsia" w:ascii="仿宋" w:hAnsi="仿宋" w:eastAsia="仿宋" w:cs="仿宋"/>
                <w:b w:val="0"/>
                <w:bCs w:val="0"/>
                <w:color w:val="auto"/>
                <w:sz w:val="24"/>
                <w:szCs w:val="24"/>
              </w:rPr>
              <w:t>所属档次并打分，达不到一档要求的不得分。</w:t>
            </w:r>
          </w:p>
          <w:p w14:paraId="445B29C4">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一档（</w:t>
            </w: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分）：承诺退换时间不超过 24 小时，服务承诺、措施、后期服务承诺较简单。</w:t>
            </w:r>
          </w:p>
          <w:p w14:paraId="5096E73A">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二档（</w:t>
            </w:r>
            <w:r>
              <w:rPr>
                <w:rFonts w:hint="eastAsia" w:ascii="仿宋" w:hAnsi="仿宋" w:eastAsia="仿宋" w:cs="仿宋"/>
                <w:b w:val="0"/>
                <w:bCs w:val="0"/>
                <w:color w:val="auto"/>
                <w:sz w:val="24"/>
                <w:szCs w:val="24"/>
                <w:lang w:val="en-US" w:eastAsia="zh-CN"/>
              </w:rPr>
              <w:t>13</w:t>
            </w:r>
            <w:r>
              <w:rPr>
                <w:rFonts w:hint="eastAsia" w:ascii="仿宋" w:hAnsi="仿宋" w:eastAsia="仿宋" w:cs="仿宋"/>
                <w:b w:val="0"/>
                <w:bCs w:val="0"/>
                <w:color w:val="auto"/>
                <w:sz w:val="24"/>
                <w:szCs w:val="24"/>
              </w:rPr>
              <w:t>分）：承诺退换时间需 16 小时（含 16 小时），服务承诺、措施可行，后期服务承诺响应满足项目需求，货物出问题时，有相应的解决措施，并明确如何确保退换的货物符合</w:t>
            </w:r>
            <w:r>
              <w:rPr>
                <w:rFonts w:hint="eastAsia" w:ascii="仿宋" w:hAnsi="仿宋" w:eastAsia="仿宋" w:cs="仿宋"/>
                <w:b w:val="0"/>
                <w:bCs w:val="0"/>
                <w:color w:val="auto"/>
                <w:sz w:val="24"/>
                <w:szCs w:val="24"/>
                <w:lang w:eastAsia="zh-CN"/>
              </w:rPr>
              <w:t>院方</w:t>
            </w:r>
            <w:r>
              <w:rPr>
                <w:rFonts w:hint="eastAsia" w:ascii="仿宋" w:hAnsi="仿宋" w:eastAsia="仿宋" w:cs="仿宋"/>
                <w:b w:val="0"/>
                <w:bCs w:val="0"/>
                <w:color w:val="auto"/>
                <w:sz w:val="24"/>
                <w:szCs w:val="24"/>
              </w:rPr>
              <w:t>需求。</w:t>
            </w:r>
          </w:p>
          <w:p w14:paraId="252B7E66">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rPr>
              <w:t>三档（</w:t>
            </w: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分）：对因货物出现问题，而对发生紧急事件问题处理预案内容具体、全面，并承诺退换时间在 8 小时内（含 8 小时），有健全、详细、高效的服务承诺、后期售后服务方式多样有效，措施得力，充分满足项目需求，包括售后服务监督和回访管理、台账管理、售后服务管理及售后服务措施（含对问题物料的处理及特殊情况的应急预案）、其他优惠措施、配送（物流）、货物分发方等方面措施等及其它服务计划，明确如何确保退换的货物符合</w:t>
            </w:r>
            <w:r>
              <w:rPr>
                <w:rFonts w:hint="eastAsia" w:ascii="仿宋" w:hAnsi="仿宋" w:eastAsia="仿宋" w:cs="仿宋"/>
                <w:b w:val="0"/>
                <w:bCs w:val="0"/>
                <w:color w:val="auto"/>
                <w:sz w:val="24"/>
                <w:szCs w:val="24"/>
                <w:lang w:eastAsia="zh-CN"/>
              </w:rPr>
              <w:t>院方</w:t>
            </w:r>
            <w:r>
              <w:rPr>
                <w:rFonts w:hint="eastAsia" w:ascii="仿宋" w:hAnsi="仿宋" w:eastAsia="仿宋" w:cs="仿宋"/>
                <w:b w:val="0"/>
                <w:bCs w:val="0"/>
                <w:color w:val="auto"/>
                <w:sz w:val="24"/>
                <w:szCs w:val="24"/>
              </w:rPr>
              <w:t>需求，并配备专门人员为</w:t>
            </w:r>
            <w:r>
              <w:rPr>
                <w:rFonts w:hint="eastAsia" w:ascii="仿宋" w:hAnsi="仿宋" w:eastAsia="仿宋" w:cs="仿宋"/>
                <w:b w:val="0"/>
                <w:bCs w:val="0"/>
                <w:color w:val="auto"/>
                <w:sz w:val="24"/>
                <w:szCs w:val="24"/>
                <w:lang w:eastAsia="zh-CN"/>
              </w:rPr>
              <w:t>院方</w:t>
            </w:r>
            <w:r>
              <w:rPr>
                <w:rFonts w:hint="eastAsia" w:ascii="仿宋" w:hAnsi="仿宋" w:eastAsia="仿宋" w:cs="仿宋"/>
                <w:b w:val="0"/>
                <w:bCs w:val="0"/>
                <w:color w:val="auto"/>
                <w:sz w:val="24"/>
                <w:szCs w:val="24"/>
              </w:rPr>
              <w:t>提供服务，确保接到</w:t>
            </w:r>
            <w:r>
              <w:rPr>
                <w:rFonts w:hint="eastAsia" w:ascii="仿宋" w:hAnsi="仿宋" w:eastAsia="仿宋" w:cs="仿宋"/>
                <w:b w:val="0"/>
                <w:bCs w:val="0"/>
                <w:color w:val="auto"/>
                <w:sz w:val="24"/>
                <w:szCs w:val="24"/>
                <w:lang w:eastAsia="zh-CN"/>
              </w:rPr>
              <w:t>院方</w:t>
            </w:r>
            <w:r>
              <w:rPr>
                <w:rFonts w:hint="eastAsia" w:ascii="仿宋" w:hAnsi="仿宋" w:eastAsia="仿宋" w:cs="仿宋"/>
                <w:b w:val="0"/>
                <w:bCs w:val="0"/>
                <w:color w:val="auto"/>
                <w:sz w:val="24"/>
                <w:szCs w:val="24"/>
              </w:rPr>
              <w:t>通知后 1 小时内响应。</w:t>
            </w:r>
          </w:p>
        </w:tc>
        <w:tc>
          <w:tcPr>
            <w:tcW w:w="962" w:type="dxa"/>
            <w:tcMar>
              <w:top w:w="0" w:type="dxa"/>
              <w:left w:w="108" w:type="dxa"/>
              <w:bottom w:w="0" w:type="dxa"/>
              <w:right w:w="108" w:type="dxa"/>
            </w:tcMar>
            <w:vAlign w:val="center"/>
          </w:tcPr>
          <w:p w14:paraId="62AD085B">
            <w:pPr>
              <w:widowControl/>
              <w:wordWrap w:val="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20分</w:t>
            </w:r>
          </w:p>
        </w:tc>
      </w:tr>
      <w:tr w14:paraId="6072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8" w:type="dxa"/>
            <w:tcMar>
              <w:top w:w="0" w:type="dxa"/>
              <w:left w:w="108" w:type="dxa"/>
              <w:bottom w:w="0" w:type="dxa"/>
              <w:right w:w="108" w:type="dxa"/>
            </w:tcMar>
            <w:vAlign w:val="center"/>
          </w:tcPr>
          <w:p w14:paraId="473E86C2">
            <w:pPr>
              <w:widowControl/>
              <w:wordWrap w:val="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5、商务分</w:t>
            </w:r>
          </w:p>
        </w:tc>
        <w:tc>
          <w:tcPr>
            <w:tcW w:w="7473" w:type="dxa"/>
            <w:tcMar>
              <w:top w:w="0" w:type="dxa"/>
              <w:left w:w="108" w:type="dxa"/>
              <w:bottom w:w="0" w:type="dxa"/>
              <w:right w:w="108" w:type="dxa"/>
            </w:tcMar>
            <w:vAlign w:val="center"/>
          </w:tcPr>
          <w:p w14:paraId="2DD869B9">
            <w:pPr>
              <w:widowControl/>
              <w:wordWrap w:val="0"/>
              <w:ind w:firstLine="480" w:firstLineChars="200"/>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(1)业绩分(满分5分)响应人自 2023 年以来承担过同类供应货品配送业绩，每一个业绩得1分，满分5分。(响应文件中提供中标(成交)通知书或合同复印件，及合同发票复印件并加盖供应商公章，否则不得分)</w:t>
            </w:r>
          </w:p>
          <w:p w14:paraId="6E8AE038">
            <w:pPr>
              <w:widowControl/>
              <w:wordWrap w:val="0"/>
              <w:ind w:firstLine="480" w:firstLineChars="200"/>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(2)配送能力分(满分3分)。响应人拟投入本项目的配送车辆，每投入一辆普通货车或面包车或其他配送车辆的得1分，满分3分。（响应文件中</w:t>
            </w:r>
            <w:r>
              <w:rPr>
                <w:rFonts w:hint="eastAsia" w:ascii="仿宋" w:hAnsi="仿宋" w:eastAsia="仿宋" w:cs="仿宋"/>
                <w:color w:val="auto"/>
                <w:kern w:val="0"/>
                <w:sz w:val="24"/>
              </w:rPr>
              <w:t>提供相关运输车辆的机动车行驶证复印件及运输车辆照片</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供应商自有车辆的，提供车辆行驶证；车辆为租赁的，提供车辆行驶证及车辆租用合同</w:t>
            </w:r>
            <w:r>
              <w:rPr>
                <w:rFonts w:hint="eastAsia" w:ascii="仿宋" w:hAnsi="仿宋" w:eastAsia="仿宋" w:cs="仿宋"/>
                <w:b w:val="0"/>
                <w:bCs w:val="0"/>
                <w:color w:val="auto"/>
                <w:kern w:val="0"/>
                <w:sz w:val="24"/>
                <w:szCs w:val="24"/>
                <w:lang w:val="en-US" w:eastAsia="zh-CN"/>
              </w:rPr>
              <w:t>复印件。证明材料需加盖供应商公章，否则不得分）</w:t>
            </w:r>
          </w:p>
          <w:p w14:paraId="71908566">
            <w:pPr>
              <w:pStyle w:val="4"/>
              <w:keepNext w:val="0"/>
              <w:keepLines w:val="0"/>
              <w:pageBreakBefore w:val="0"/>
              <w:widowControl w:val="0"/>
              <w:kinsoku/>
              <w:wordWrap/>
              <w:overflowPunct/>
              <w:topLinePunct w:val="0"/>
              <w:autoSpaceDE/>
              <w:autoSpaceDN/>
              <w:bidi w:val="0"/>
              <w:adjustRightInd w:val="0"/>
              <w:snapToGrid/>
              <w:spacing w:before="0" w:line="240" w:lineRule="auto"/>
              <w:ind w:left="0" w:firstLine="480" w:firstLineChars="200"/>
              <w:jc w:val="left"/>
              <w:textAlignment w:val="baseline"/>
              <w:rPr>
                <w:rFonts w:hint="eastAsia" w:ascii="仿宋" w:hAnsi="仿宋" w:eastAsia="仿宋" w:cs="仿宋"/>
                <w:b w:val="0"/>
                <w:bCs w:val="0"/>
                <w:color w:val="auto"/>
                <w:sz w:val="28"/>
                <w:szCs w:val="20"/>
                <w:lang w:val="en-US" w:eastAsia="zh-CN"/>
              </w:rPr>
            </w:pPr>
            <w:r>
              <w:rPr>
                <w:rFonts w:hint="eastAsia" w:ascii="仿宋" w:hAnsi="仿宋" w:eastAsia="仿宋" w:cs="仿宋"/>
                <w:b w:val="0"/>
                <w:bCs w:val="0"/>
                <w:color w:val="auto"/>
                <w:kern w:val="0"/>
                <w:sz w:val="24"/>
                <w:szCs w:val="24"/>
                <w:lang w:val="en-US" w:eastAsia="zh-CN" w:bidi="ar-SA"/>
              </w:rPr>
              <w:t>（3）仓储设施分（满分2分），响应人有固定的仓储设施的得1分；同时仓库与经营场地一致的得1分（提供相关的租赁合同复印件或房产证明材料），满分2分</w:t>
            </w:r>
          </w:p>
        </w:tc>
        <w:tc>
          <w:tcPr>
            <w:tcW w:w="962" w:type="dxa"/>
            <w:tcMar>
              <w:top w:w="0" w:type="dxa"/>
              <w:left w:w="108" w:type="dxa"/>
              <w:bottom w:w="0" w:type="dxa"/>
              <w:right w:w="108" w:type="dxa"/>
            </w:tcMar>
            <w:vAlign w:val="center"/>
          </w:tcPr>
          <w:p w14:paraId="46CC1A3F">
            <w:pPr>
              <w:widowControl/>
              <w:wordWrap w:val="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10分</w:t>
            </w:r>
          </w:p>
        </w:tc>
      </w:tr>
      <w:tr w14:paraId="706C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8411" w:type="dxa"/>
            <w:gridSpan w:val="2"/>
            <w:tcMar>
              <w:top w:w="0" w:type="dxa"/>
              <w:left w:w="108" w:type="dxa"/>
              <w:bottom w:w="0" w:type="dxa"/>
              <w:right w:w="108" w:type="dxa"/>
            </w:tcMar>
            <w:vAlign w:val="center"/>
          </w:tcPr>
          <w:p w14:paraId="63E5082E">
            <w:pPr>
              <w:pStyle w:val="4"/>
              <w:keepNext w:val="0"/>
              <w:keepLines w:val="0"/>
              <w:pageBreakBefore w:val="0"/>
              <w:widowControl w:val="0"/>
              <w:kinsoku/>
              <w:wordWrap/>
              <w:overflowPunct/>
              <w:topLinePunct w:val="0"/>
              <w:autoSpaceDE/>
              <w:autoSpaceDN/>
              <w:bidi w:val="0"/>
              <w:adjustRightInd w:val="0"/>
              <w:snapToGrid/>
              <w:spacing w:before="0" w:line="240" w:lineRule="auto"/>
              <w:ind w:left="0" w:firstLine="480" w:firstLineChars="200"/>
              <w:jc w:val="center"/>
              <w:textAlignment w:val="baseline"/>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合计</w:t>
            </w:r>
          </w:p>
        </w:tc>
        <w:tc>
          <w:tcPr>
            <w:tcW w:w="962" w:type="dxa"/>
            <w:tcMar>
              <w:top w:w="0" w:type="dxa"/>
              <w:left w:w="108" w:type="dxa"/>
              <w:bottom w:w="0" w:type="dxa"/>
              <w:right w:w="108" w:type="dxa"/>
            </w:tcMar>
            <w:vAlign w:val="center"/>
          </w:tcPr>
          <w:p w14:paraId="602C97DB">
            <w:pPr>
              <w:widowControl/>
              <w:wordWrap w:val="0"/>
              <w:jc w:val="center"/>
              <w:rPr>
                <w:rFonts w:hint="default"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100分</w:t>
            </w:r>
          </w:p>
        </w:tc>
      </w:tr>
    </w:tbl>
    <w:p w14:paraId="5D070568">
      <w:pPr>
        <w:pStyle w:val="2"/>
        <w:numPr>
          <w:ilvl w:val="-1"/>
          <w:numId w:val="0"/>
        </w:numPr>
        <w:rPr>
          <w:rFonts w:hint="eastAsia"/>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51D82"/>
    <w:multiLevelType w:val="singleLevel"/>
    <w:tmpl w:val="C8A51D82"/>
    <w:lvl w:ilvl="0" w:tentative="0">
      <w:start w:val="5"/>
      <w:numFmt w:val="decimal"/>
      <w:lvlText w:val="%1."/>
      <w:lvlJc w:val="left"/>
      <w:pPr>
        <w:tabs>
          <w:tab w:val="left" w:pos="312"/>
        </w:tabs>
      </w:pPr>
    </w:lvl>
  </w:abstractNum>
  <w:abstractNum w:abstractNumId="1">
    <w:nsid w:val="CB273830"/>
    <w:multiLevelType w:val="singleLevel"/>
    <w:tmpl w:val="CB273830"/>
    <w:lvl w:ilvl="0" w:tentative="0">
      <w:start w:val="1"/>
      <w:numFmt w:val="decimal"/>
      <w:suff w:val="nothing"/>
      <w:lvlText w:val="%1、"/>
      <w:lvlJc w:val="left"/>
    </w:lvl>
  </w:abstractNum>
  <w:abstractNum w:abstractNumId="2">
    <w:nsid w:val="2517B9F2"/>
    <w:multiLevelType w:val="singleLevel"/>
    <w:tmpl w:val="2517B9F2"/>
    <w:lvl w:ilvl="0" w:tentative="0">
      <w:start w:val="1"/>
      <w:numFmt w:val="decimal"/>
      <w:suff w:val="nothing"/>
      <w:lvlText w:val="（%1）"/>
      <w:lvlJc w:val="left"/>
    </w:lvl>
  </w:abstractNum>
  <w:abstractNum w:abstractNumId="3">
    <w:nsid w:val="52D5631A"/>
    <w:multiLevelType w:val="singleLevel"/>
    <w:tmpl w:val="52D5631A"/>
    <w:lvl w:ilvl="0" w:tentative="0">
      <w:start w:val="1"/>
      <w:numFmt w:val="chineseCounting"/>
      <w:suff w:val="nothing"/>
      <w:lvlText w:val="%1、"/>
      <w:lvlJc w:val="left"/>
      <w:rPr>
        <w:rFonts w:hint="eastAsia"/>
      </w:rPr>
    </w:lvl>
  </w:abstractNum>
  <w:abstractNum w:abstractNumId="4">
    <w:nsid w:val="6202D2C7"/>
    <w:multiLevelType w:val="singleLevel"/>
    <w:tmpl w:val="6202D2C7"/>
    <w:lvl w:ilvl="0" w:tentative="0">
      <w:start w:val="7"/>
      <w:numFmt w:val="chineseCounting"/>
      <w:suff w:val="nothing"/>
      <w:lvlText w:val="%1、"/>
      <w:lvlJc w:val="left"/>
      <w:rPr>
        <w:rFonts w:hint="eastAsia"/>
      </w:rPr>
    </w:lvl>
  </w:abstractNum>
  <w:abstractNum w:abstractNumId="5">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49A4077"/>
    <w:rsid w:val="050A4A13"/>
    <w:rsid w:val="06B24608"/>
    <w:rsid w:val="09061CDB"/>
    <w:rsid w:val="0D7E1EA2"/>
    <w:rsid w:val="0E3E18A1"/>
    <w:rsid w:val="0F046191"/>
    <w:rsid w:val="100F4993"/>
    <w:rsid w:val="12A14823"/>
    <w:rsid w:val="135F7314"/>
    <w:rsid w:val="194D74B2"/>
    <w:rsid w:val="1B4A514D"/>
    <w:rsid w:val="1C28381F"/>
    <w:rsid w:val="1CDA1895"/>
    <w:rsid w:val="20CA2B04"/>
    <w:rsid w:val="22296851"/>
    <w:rsid w:val="2628704B"/>
    <w:rsid w:val="27657FB0"/>
    <w:rsid w:val="28CD0308"/>
    <w:rsid w:val="291D1F7C"/>
    <w:rsid w:val="2B965DD5"/>
    <w:rsid w:val="2F917621"/>
    <w:rsid w:val="327C0926"/>
    <w:rsid w:val="352509C6"/>
    <w:rsid w:val="35AC681C"/>
    <w:rsid w:val="35DC0CD4"/>
    <w:rsid w:val="35ED26B6"/>
    <w:rsid w:val="379042ED"/>
    <w:rsid w:val="3D50709F"/>
    <w:rsid w:val="423704F1"/>
    <w:rsid w:val="442B6363"/>
    <w:rsid w:val="4CDD56C3"/>
    <w:rsid w:val="519427A9"/>
    <w:rsid w:val="528957D1"/>
    <w:rsid w:val="528D47EC"/>
    <w:rsid w:val="558A64FA"/>
    <w:rsid w:val="55960A81"/>
    <w:rsid w:val="560E087A"/>
    <w:rsid w:val="56812AB9"/>
    <w:rsid w:val="58C77F57"/>
    <w:rsid w:val="5B6403E0"/>
    <w:rsid w:val="5F7601AD"/>
    <w:rsid w:val="643364F2"/>
    <w:rsid w:val="66C42376"/>
    <w:rsid w:val="69095760"/>
    <w:rsid w:val="6F79710B"/>
    <w:rsid w:val="6FA73B9E"/>
    <w:rsid w:val="6FC20EFD"/>
    <w:rsid w:val="6FD842E2"/>
    <w:rsid w:val="742179C4"/>
    <w:rsid w:val="74344C90"/>
    <w:rsid w:val="74F91C79"/>
    <w:rsid w:val="7E975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5">
    <w:name w:val="annotation text"/>
    <w:basedOn w:val="1"/>
    <w:qFormat/>
    <w:uiPriority w:val="0"/>
    <w:pPr>
      <w:jc w:val="left"/>
    </w:pPr>
  </w:style>
  <w:style w:type="character" w:styleId="8">
    <w:name w:val="Strong"/>
    <w:basedOn w:val="7"/>
    <w:qFormat/>
    <w:uiPriority w:val="0"/>
    <w:rPr>
      <w:b/>
    </w:rPr>
  </w:style>
  <w:style w:type="character" w:customStyle="1" w:styleId="9">
    <w:name w:val="font51"/>
    <w:basedOn w:val="7"/>
    <w:qFormat/>
    <w:uiPriority w:val="0"/>
    <w:rPr>
      <w:rFonts w:hint="eastAsia" w:ascii="宋体" w:hAnsi="宋体" w:eastAsia="宋体" w:cs="宋体"/>
      <w:b/>
      <w:bCs/>
      <w:color w:val="000000"/>
      <w:sz w:val="24"/>
      <w:szCs w:val="24"/>
      <w:u w:val="none"/>
    </w:rPr>
  </w:style>
  <w:style w:type="character" w:customStyle="1" w:styleId="10">
    <w:name w:val="font61"/>
    <w:basedOn w:val="7"/>
    <w:qFormat/>
    <w:uiPriority w:val="0"/>
    <w:rPr>
      <w:rFonts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7659</Words>
  <Characters>8358</Characters>
  <Lines>0</Lines>
  <Paragraphs>0</Paragraphs>
  <TotalTime>37</TotalTime>
  <ScaleCrop>false</ScaleCrop>
  <LinksUpToDate>false</LinksUpToDate>
  <CharactersWithSpaces>8393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2026-04-16T07:04:51Z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16CB0CC8C89949D39FB885C753C8CE82_13</vt:lpwstr>
  </property>
  <property fmtid="{D5CDD505-2E9C-101B-9397-08002B2CF9AE}" pid="4" name="KSOTemplateDocerSaveRecord">
    <vt:lpwstr>eyJoZGlkIjoiY2Q2MjU2MzMxMTIyNzIyYTQyZjg1OTZhMmRkYzhlY2QiLCJ1c2VySWQiOiI0MTcxNjY3MTMifQ==</vt:lpwstr>
  </property>
</Properties>
</file>