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041AD">
      <w:pPr>
        <w:spacing w:line="360" w:lineRule="auto"/>
        <w:jc w:val="center"/>
        <w:rPr>
          <w:rFonts w:hint="default" w:ascii="Times New Roman" w:hAnsi="Times New Roman" w:eastAsia="方正小标宋简体" w:cs="Times New Roman"/>
          <w:kern w:val="44"/>
          <w:sz w:val="32"/>
          <w:szCs w:val="32"/>
        </w:rPr>
      </w:pPr>
      <w:r>
        <w:rPr>
          <w:rFonts w:hint="default" w:ascii="Times New Roman" w:hAnsi="Times New Roman" w:eastAsia="方正小标宋简体" w:cs="Times New Roman"/>
          <w:kern w:val="44"/>
          <w:sz w:val="32"/>
          <w:szCs w:val="32"/>
        </w:rPr>
        <w:t>专著出版服务项目评分标准</w:t>
      </w:r>
    </w:p>
    <w:tbl>
      <w:tblPr>
        <w:tblStyle w:val="7"/>
        <w:tblW w:w="92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0"/>
        <w:gridCol w:w="1143"/>
        <w:gridCol w:w="6477"/>
        <w:gridCol w:w="949"/>
      </w:tblGrid>
      <w:tr w14:paraId="0BDB6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700" w:type="dxa"/>
            <w:tcBorders>
              <w:right w:val="single" w:color="auto" w:sz="4" w:space="0"/>
            </w:tcBorders>
            <w:vAlign w:val="center"/>
          </w:tcPr>
          <w:p w14:paraId="18B4533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szCs w:val="21"/>
              </w:rPr>
            </w:pPr>
            <w:r>
              <w:rPr>
                <w:rFonts w:hint="default" w:ascii="Times New Roman" w:hAnsi="Times New Roman" w:cs="Times New Roman"/>
                <w:b/>
                <w:bCs/>
                <w:szCs w:val="21"/>
              </w:rPr>
              <w:t>序号</w:t>
            </w:r>
          </w:p>
        </w:tc>
        <w:tc>
          <w:tcPr>
            <w:tcW w:w="1143" w:type="dxa"/>
            <w:tcBorders>
              <w:left w:val="single" w:color="auto" w:sz="4" w:space="0"/>
              <w:right w:val="single" w:color="auto" w:sz="4" w:space="0"/>
            </w:tcBorders>
            <w:vAlign w:val="center"/>
          </w:tcPr>
          <w:p w14:paraId="58E896E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szCs w:val="21"/>
              </w:rPr>
            </w:pPr>
            <w:r>
              <w:rPr>
                <w:rFonts w:hint="default" w:ascii="Times New Roman" w:hAnsi="Times New Roman" w:cs="Times New Roman"/>
                <w:b/>
                <w:bCs/>
                <w:szCs w:val="21"/>
              </w:rPr>
              <w:t>评分内容</w:t>
            </w:r>
          </w:p>
        </w:tc>
        <w:tc>
          <w:tcPr>
            <w:tcW w:w="6477" w:type="dxa"/>
            <w:tcBorders>
              <w:left w:val="single" w:color="auto" w:sz="4" w:space="0"/>
              <w:right w:val="single" w:color="auto" w:sz="4" w:space="0"/>
            </w:tcBorders>
            <w:vAlign w:val="center"/>
          </w:tcPr>
          <w:p w14:paraId="6DF211C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szCs w:val="21"/>
              </w:rPr>
            </w:pPr>
            <w:r>
              <w:rPr>
                <w:rFonts w:hint="default" w:ascii="Times New Roman" w:hAnsi="Times New Roman" w:cs="Times New Roman"/>
                <w:b/>
                <w:bCs/>
                <w:szCs w:val="21"/>
              </w:rPr>
              <w:t>评分标准</w:t>
            </w:r>
          </w:p>
        </w:tc>
        <w:tc>
          <w:tcPr>
            <w:tcW w:w="949" w:type="dxa"/>
            <w:tcBorders>
              <w:left w:val="single" w:color="auto" w:sz="4" w:space="0"/>
              <w:right w:val="single" w:color="auto" w:sz="4" w:space="0"/>
            </w:tcBorders>
            <w:vAlign w:val="center"/>
          </w:tcPr>
          <w:p w14:paraId="7AA0F4C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szCs w:val="21"/>
              </w:rPr>
            </w:pPr>
            <w:r>
              <w:rPr>
                <w:rFonts w:hint="default" w:ascii="Times New Roman" w:hAnsi="Times New Roman" w:cs="Times New Roman"/>
                <w:b/>
                <w:bCs/>
                <w:szCs w:val="21"/>
              </w:rPr>
              <w:t>分值</w:t>
            </w:r>
          </w:p>
        </w:tc>
      </w:tr>
      <w:tr w14:paraId="5B387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7" w:hRule="atLeast"/>
          <w:jc w:val="center"/>
        </w:trPr>
        <w:tc>
          <w:tcPr>
            <w:tcW w:w="700" w:type="dxa"/>
            <w:tcBorders>
              <w:right w:val="single" w:color="auto" w:sz="4" w:space="0"/>
            </w:tcBorders>
            <w:vAlign w:val="center"/>
          </w:tcPr>
          <w:p w14:paraId="7C49C4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Cs w:val="21"/>
              </w:rPr>
            </w:pPr>
            <w:r>
              <w:rPr>
                <w:rFonts w:hint="default" w:ascii="Times New Roman" w:hAnsi="Times New Roman" w:cs="Times New Roman"/>
                <w:szCs w:val="21"/>
              </w:rPr>
              <w:t>1</w:t>
            </w:r>
          </w:p>
        </w:tc>
        <w:tc>
          <w:tcPr>
            <w:tcW w:w="1143" w:type="dxa"/>
            <w:tcBorders>
              <w:left w:val="single" w:color="auto" w:sz="4" w:space="0"/>
              <w:right w:val="single" w:color="auto" w:sz="4" w:space="0"/>
            </w:tcBorders>
            <w:vAlign w:val="center"/>
          </w:tcPr>
          <w:p w14:paraId="34FC83F5">
            <w:pPr>
              <w:adjustRightInd w:val="0"/>
              <w:snapToGrid w:val="0"/>
              <w:spacing w:line="360" w:lineRule="auto"/>
              <w:jc w:val="center"/>
              <w:rPr>
                <w:rFonts w:hint="default" w:ascii="Times New Roman" w:hAnsi="Times New Roman" w:eastAsia="宋体" w:cs="Times New Roman"/>
                <w:szCs w:val="21"/>
                <w:lang w:eastAsia="zh-CN"/>
              </w:rPr>
            </w:pPr>
            <w:r>
              <w:rPr>
                <w:rFonts w:hint="default" w:ascii="Times New Roman" w:hAnsi="Times New Roman" w:cs="Times New Roman"/>
                <w:lang w:eastAsia="zh-CN"/>
              </w:rPr>
              <w:t>价格分</w:t>
            </w:r>
          </w:p>
        </w:tc>
        <w:tc>
          <w:tcPr>
            <w:tcW w:w="6477" w:type="dxa"/>
            <w:tcBorders>
              <w:left w:val="single" w:color="auto" w:sz="4" w:space="0"/>
              <w:right w:val="single" w:color="auto" w:sz="4" w:space="0"/>
            </w:tcBorders>
            <w:vAlign w:val="center"/>
          </w:tcPr>
          <w:p w14:paraId="6443E0FF">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Cs w:val="21"/>
              </w:rPr>
            </w:pPr>
            <w:r>
              <w:rPr>
                <w:rFonts w:hint="default" w:ascii="Times New Roman" w:hAnsi="Times New Roman" w:cs="Times New Roman"/>
                <w:szCs w:val="21"/>
                <w:lang w:val="en-US" w:eastAsia="zh-CN"/>
              </w:rPr>
              <w:t>1.</w:t>
            </w:r>
            <w:r>
              <w:rPr>
                <w:rFonts w:hint="default" w:ascii="Times New Roman" w:hAnsi="Times New Roman" w:cs="Times New Roman"/>
                <w:szCs w:val="21"/>
              </w:rPr>
              <w:t>评分方法：价格分采用低价优先法计算，即满足采购需求且响应价格最低的响应报价为评标基准价，基准价报价得分为10分。</w:t>
            </w:r>
          </w:p>
          <w:p w14:paraId="0206A5C6">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Cs w:val="21"/>
              </w:rPr>
            </w:pPr>
            <w:r>
              <w:rPr>
                <w:rFonts w:hint="default" w:ascii="Times New Roman" w:hAnsi="Times New Roman" w:cs="Times New Roman"/>
                <w:szCs w:val="21"/>
              </w:rPr>
              <w:t>2.计算公式：其他供应商的价格得分统一按照公式计算，即：价格得分 = (评标基准价 / 供应商报价) × 10分。</w:t>
            </w:r>
          </w:p>
          <w:p w14:paraId="0FBA9F23">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sz w:val="24"/>
                <w:highlight w:val="yellow"/>
              </w:rPr>
            </w:pPr>
            <w:r>
              <w:rPr>
                <w:rFonts w:hint="default" w:ascii="Times New Roman" w:hAnsi="Times New Roman" w:cs="Times New Roman"/>
                <w:szCs w:val="21"/>
                <w:lang w:val="en-US" w:eastAsia="zh-CN"/>
              </w:rPr>
              <w:t>3</w:t>
            </w:r>
            <w:r>
              <w:rPr>
                <w:rFonts w:hint="default" w:ascii="Times New Roman" w:hAnsi="Times New Roman" w:cs="Times New Roman"/>
                <w:szCs w:val="21"/>
              </w:rPr>
              <w:t>.分值要求</w:t>
            </w:r>
            <w:r>
              <w:rPr>
                <w:rFonts w:hint="default" w:ascii="Times New Roman" w:hAnsi="Times New Roman" w:cs="Times New Roman"/>
                <w:szCs w:val="21"/>
                <w:lang w:val="en-US" w:eastAsia="zh-CN"/>
              </w:rPr>
              <w:t>:</w:t>
            </w:r>
            <w:r>
              <w:rPr>
                <w:rFonts w:hint="default" w:ascii="Times New Roman" w:hAnsi="Times New Roman" w:cs="Times New Roman"/>
                <w:szCs w:val="21"/>
              </w:rPr>
              <w:t>分值保留至小数点后两位，最低为0分。</w:t>
            </w:r>
          </w:p>
        </w:tc>
        <w:tc>
          <w:tcPr>
            <w:tcW w:w="949" w:type="dxa"/>
            <w:tcBorders>
              <w:left w:val="single" w:color="auto" w:sz="4" w:space="0"/>
              <w:right w:val="single" w:color="auto" w:sz="4" w:space="0"/>
            </w:tcBorders>
            <w:vAlign w:val="center"/>
          </w:tcPr>
          <w:p w14:paraId="0577AD1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10分</w:t>
            </w:r>
          </w:p>
        </w:tc>
      </w:tr>
      <w:tr w14:paraId="05804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 w:hRule="atLeast"/>
          <w:jc w:val="center"/>
        </w:trPr>
        <w:tc>
          <w:tcPr>
            <w:tcW w:w="700" w:type="dxa"/>
            <w:tcBorders>
              <w:right w:val="single" w:color="auto" w:sz="4" w:space="0"/>
            </w:tcBorders>
            <w:vAlign w:val="center"/>
          </w:tcPr>
          <w:p w14:paraId="207151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Cs w:val="21"/>
              </w:rPr>
            </w:pPr>
            <w:r>
              <w:rPr>
                <w:rFonts w:hint="default" w:ascii="Times New Roman" w:hAnsi="Times New Roman" w:cs="Times New Roman"/>
                <w:szCs w:val="21"/>
              </w:rPr>
              <w:t>2</w:t>
            </w:r>
          </w:p>
        </w:tc>
        <w:tc>
          <w:tcPr>
            <w:tcW w:w="1143" w:type="dxa"/>
            <w:tcBorders>
              <w:left w:val="single" w:color="auto" w:sz="4" w:space="0"/>
              <w:right w:val="single" w:color="auto" w:sz="4" w:space="0"/>
            </w:tcBorders>
            <w:vAlign w:val="center"/>
          </w:tcPr>
          <w:p w14:paraId="364337A9">
            <w:pPr>
              <w:jc w:val="center"/>
              <w:rPr>
                <w:rFonts w:hint="default" w:ascii="Times New Roman" w:hAnsi="Times New Roman" w:cs="Times New Roman"/>
              </w:rPr>
            </w:pPr>
            <w:r>
              <w:rPr>
                <w:rFonts w:hint="default" w:ascii="Times New Roman" w:hAnsi="Times New Roman" w:cs="Times New Roman"/>
              </w:rPr>
              <w:t>资质</w:t>
            </w:r>
            <w:r>
              <w:rPr>
                <w:rFonts w:hint="default" w:ascii="Times New Roman" w:hAnsi="Times New Roman" w:cs="Times New Roman"/>
                <w:lang w:eastAsia="zh-CN"/>
              </w:rPr>
              <w:t>分</w:t>
            </w:r>
          </w:p>
        </w:tc>
        <w:tc>
          <w:tcPr>
            <w:tcW w:w="6477" w:type="dxa"/>
            <w:tcBorders>
              <w:left w:val="single" w:color="auto" w:sz="4" w:space="0"/>
              <w:right w:val="single" w:color="auto" w:sz="4" w:space="0"/>
            </w:tcBorders>
          </w:tcPr>
          <w:p w14:paraId="612CBCE0">
            <w:pPr>
              <w:pStyle w:val="3"/>
              <w:keepNext w:val="0"/>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cs="Times New Roman"/>
                <w:szCs w:val="21"/>
              </w:rPr>
            </w:pPr>
            <w:r>
              <w:rPr>
                <w:rFonts w:hint="default" w:ascii="Times New Roman" w:hAnsi="Times New Roman" w:cs="Times New Roman"/>
                <w:szCs w:val="21"/>
              </w:rPr>
              <w:t>投标人须提供有效的《图书出版许可证》复印件并加盖单位公章，装订于响应文件中。</w:t>
            </w:r>
          </w:p>
          <w:p w14:paraId="6347A241">
            <w:pPr>
              <w:pStyle w:val="3"/>
              <w:keepNext w:val="0"/>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cs="Times New Roman"/>
                <w:szCs w:val="21"/>
              </w:rPr>
            </w:pPr>
            <w:r>
              <w:rPr>
                <w:rFonts w:hint="default" w:ascii="Times New Roman" w:hAnsi="Times New Roman" w:cs="Times New Roman"/>
                <w:szCs w:val="21"/>
              </w:rPr>
              <w:t>提供有效证件得6分；未提供或证件无效不得分。</w:t>
            </w:r>
          </w:p>
        </w:tc>
        <w:tc>
          <w:tcPr>
            <w:tcW w:w="949" w:type="dxa"/>
            <w:tcBorders>
              <w:left w:val="single" w:color="auto" w:sz="4" w:space="0"/>
              <w:right w:val="single" w:color="auto" w:sz="4" w:space="0"/>
            </w:tcBorders>
            <w:vAlign w:val="center"/>
          </w:tcPr>
          <w:p w14:paraId="4E28924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6分</w:t>
            </w:r>
          </w:p>
        </w:tc>
      </w:tr>
      <w:tr w14:paraId="727C6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 w:hRule="atLeast"/>
          <w:jc w:val="center"/>
        </w:trPr>
        <w:tc>
          <w:tcPr>
            <w:tcW w:w="700" w:type="dxa"/>
            <w:tcBorders>
              <w:right w:val="single" w:color="auto" w:sz="4" w:space="0"/>
            </w:tcBorders>
            <w:vAlign w:val="center"/>
          </w:tcPr>
          <w:p w14:paraId="61ED059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Cs w:val="21"/>
              </w:rPr>
            </w:pPr>
            <w:r>
              <w:rPr>
                <w:rFonts w:hint="default" w:ascii="Times New Roman" w:hAnsi="Times New Roman" w:cs="Times New Roman"/>
                <w:szCs w:val="21"/>
              </w:rPr>
              <w:t>3</w:t>
            </w:r>
          </w:p>
        </w:tc>
        <w:tc>
          <w:tcPr>
            <w:tcW w:w="1143" w:type="dxa"/>
            <w:tcBorders>
              <w:left w:val="single" w:color="auto" w:sz="4" w:space="0"/>
              <w:right w:val="single" w:color="auto" w:sz="4" w:space="0"/>
            </w:tcBorders>
            <w:vAlign w:val="center"/>
          </w:tcPr>
          <w:p w14:paraId="79ADF0CF">
            <w:pPr>
              <w:jc w:val="center"/>
              <w:rPr>
                <w:rFonts w:hint="default" w:ascii="Times New Roman" w:hAnsi="Times New Roman" w:cs="Times New Roman"/>
              </w:rPr>
            </w:pPr>
            <w:r>
              <w:rPr>
                <w:rFonts w:hint="default" w:ascii="Times New Roman" w:hAnsi="Times New Roman" w:cs="Times New Roman"/>
              </w:rPr>
              <w:t>承诺</w:t>
            </w:r>
            <w:r>
              <w:rPr>
                <w:rFonts w:hint="default" w:ascii="Times New Roman" w:hAnsi="Times New Roman" w:cs="Times New Roman"/>
                <w:szCs w:val="21"/>
                <w:lang w:eastAsia="zh-CN"/>
              </w:rPr>
              <w:t>分</w:t>
            </w:r>
          </w:p>
        </w:tc>
        <w:tc>
          <w:tcPr>
            <w:tcW w:w="6477" w:type="dxa"/>
            <w:tcBorders>
              <w:left w:val="single" w:color="auto" w:sz="4" w:space="0"/>
              <w:right w:val="single" w:color="auto" w:sz="4" w:space="0"/>
            </w:tcBorders>
            <w:vAlign w:val="center"/>
          </w:tcPr>
          <w:p w14:paraId="163810DD">
            <w:pPr>
              <w:pStyle w:val="3"/>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cs="Times New Roman"/>
                <w:szCs w:val="21"/>
              </w:rPr>
            </w:pPr>
            <w:r>
              <w:rPr>
                <w:rFonts w:hint="default" w:ascii="Times New Roman" w:hAnsi="Times New Roman" w:cs="Times New Roman"/>
                <w:szCs w:val="21"/>
              </w:rPr>
              <w:t>投标人提供加盖单位公章的《按期出版承诺书》，明确承诺项目交付及出版周期。</w:t>
            </w:r>
          </w:p>
          <w:p w14:paraId="3C4D3D43">
            <w:pPr>
              <w:pStyle w:val="3"/>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cs="Times New Roman"/>
                <w:szCs w:val="21"/>
              </w:rPr>
            </w:pPr>
            <w:r>
              <w:rPr>
                <w:rFonts w:hint="default" w:ascii="Times New Roman" w:hAnsi="Times New Roman" w:cs="Times New Roman"/>
                <w:szCs w:val="21"/>
              </w:rPr>
              <w:t>提供有效承诺书得4分；未提供不得分。</w:t>
            </w:r>
          </w:p>
        </w:tc>
        <w:tc>
          <w:tcPr>
            <w:tcW w:w="949" w:type="dxa"/>
            <w:tcBorders>
              <w:left w:val="single" w:color="auto" w:sz="4" w:space="0"/>
              <w:right w:val="single" w:color="auto" w:sz="4" w:space="0"/>
            </w:tcBorders>
            <w:vAlign w:val="center"/>
          </w:tcPr>
          <w:p w14:paraId="68FEF769">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4分</w:t>
            </w:r>
          </w:p>
        </w:tc>
      </w:tr>
      <w:tr w14:paraId="74758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700" w:type="dxa"/>
            <w:vMerge w:val="restart"/>
            <w:tcBorders>
              <w:right w:val="single" w:color="auto" w:sz="4" w:space="0"/>
            </w:tcBorders>
            <w:vAlign w:val="center"/>
          </w:tcPr>
          <w:p w14:paraId="255D7110">
            <w:pPr>
              <w:keepNext w:val="0"/>
              <w:keepLines w:val="0"/>
              <w:widowControl/>
              <w:suppressLineNumbers w:val="0"/>
              <w:jc w:val="center"/>
              <w:textAlignment w:val="center"/>
              <w:rPr>
                <w:rFonts w:hint="default" w:ascii="Times New Roman" w:hAnsi="Times New Roman" w:cs="Times New Roman"/>
                <w:szCs w:val="21"/>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143" w:type="dxa"/>
            <w:vMerge w:val="restart"/>
            <w:tcBorders>
              <w:left w:val="single" w:color="auto" w:sz="4" w:space="0"/>
              <w:right w:val="single" w:color="auto" w:sz="4" w:space="0"/>
            </w:tcBorders>
            <w:vAlign w:val="center"/>
          </w:tcPr>
          <w:p w14:paraId="54E75935">
            <w:pPr>
              <w:keepNext w:val="0"/>
              <w:keepLines w:val="0"/>
              <w:widowControl/>
              <w:suppressLineNumbers w:val="0"/>
              <w:jc w:val="center"/>
              <w:textAlignment w:val="center"/>
              <w:rPr>
                <w:rFonts w:hint="default" w:ascii="Times New Roman" w:hAnsi="Times New Roman" w:cs="Times New Roman"/>
              </w:rPr>
            </w:pPr>
            <w:r>
              <w:rPr>
                <w:rFonts w:hint="eastAsia" w:ascii="宋体" w:hAnsi="宋体" w:eastAsia="宋体" w:cs="宋体"/>
                <w:i w:val="0"/>
                <w:iCs w:val="0"/>
                <w:color w:val="000000"/>
                <w:kern w:val="0"/>
                <w:sz w:val="21"/>
                <w:szCs w:val="21"/>
                <w:u w:val="none"/>
                <w:lang w:val="en-US" w:eastAsia="zh-CN" w:bidi="ar"/>
              </w:rPr>
              <w:t>技术方案分</w:t>
            </w:r>
          </w:p>
        </w:tc>
        <w:tc>
          <w:tcPr>
            <w:tcW w:w="6477" w:type="dxa"/>
            <w:tcBorders>
              <w:left w:val="single" w:color="auto" w:sz="4" w:space="0"/>
              <w:right w:val="single" w:color="auto" w:sz="4" w:space="0"/>
            </w:tcBorders>
            <w:vAlign w:val="center"/>
          </w:tcPr>
          <w:p w14:paraId="3E398C6F">
            <w:pPr>
              <w:keepNext w:val="0"/>
              <w:keepLines w:val="0"/>
              <w:widowControl/>
              <w:suppressLineNumbers w:val="0"/>
              <w:jc w:val="left"/>
              <w:textAlignment w:val="center"/>
              <w:rPr>
                <w:rFonts w:hint="default" w:ascii="Times New Roman" w:hAnsi="Times New Roman" w:cs="Times New Roman"/>
              </w:rPr>
            </w:pPr>
            <w:r>
              <w:rPr>
                <w:rFonts w:hint="eastAsia" w:ascii="宋体" w:hAnsi="宋体" w:eastAsia="宋体" w:cs="宋体"/>
                <w:i w:val="0"/>
                <w:iCs w:val="0"/>
                <w:color w:val="000000"/>
                <w:kern w:val="0"/>
                <w:sz w:val="21"/>
                <w:szCs w:val="21"/>
                <w:u w:val="none"/>
                <w:lang w:val="en-US" w:eastAsia="zh-CN" w:bidi="ar"/>
              </w:rPr>
              <w:t>本项满分</w:t>
            </w:r>
            <w:r>
              <w:rPr>
                <w:rStyle w:val="15"/>
                <w:rFonts w:eastAsia="宋体"/>
                <w:lang w:val="en-US" w:eastAsia="zh-CN" w:bidi="ar"/>
              </w:rPr>
              <w:t>60</w:t>
            </w:r>
            <w:r>
              <w:rPr>
                <w:rStyle w:val="16"/>
                <w:lang w:val="en-US" w:eastAsia="zh-CN" w:bidi="ar"/>
              </w:rPr>
              <w:t>分，根据方案优劣程度分级评分。</w:t>
            </w:r>
          </w:p>
        </w:tc>
        <w:tc>
          <w:tcPr>
            <w:tcW w:w="949" w:type="dxa"/>
            <w:tcBorders>
              <w:left w:val="single" w:color="auto" w:sz="4" w:space="0"/>
              <w:right w:val="single" w:color="auto" w:sz="4" w:space="0"/>
            </w:tcBorders>
            <w:vAlign w:val="center"/>
          </w:tcPr>
          <w:p w14:paraId="43F1D85F">
            <w:pPr>
              <w:keepNext w:val="0"/>
              <w:keepLines w:val="0"/>
              <w:widowControl/>
              <w:suppressLineNumbers w:val="0"/>
              <w:jc w:val="left"/>
              <w:textAlignment w:val="center"/>
              <w:rPr>
                <w:rFonts w:hint="default" w:ascii="Times New Roman" w:hAnsi="Times New Roman" w:cs="Times New Roman"/>
                <w:szCs w:val="21"/>
              </w:rPr>
            </w:pPr>
            <w:r>
              <w:rPr>
                <w:rFonts w:hint="default" w:ascii="Times New Roman" w:hAnsi="Times New Roman" w:eastAsia="宋体" w:cs="Times New Roman"/>
                <w:i w:val="0"/>
                <w:iCs w:val="0"/>
                <w:color w:val="000000"/>
                <w:kern w:val="0"/>
                <w:sz w:val="21"/>
                <w:szCs w:val="21"/>
                <w:u w:val="none"/>
                <w:lang w:val="en-US" w:eastAsia="zh-CN" w:bidi="ar"/>
              </w:rPr>
              <w:t>60</w:t>
            </w:r>
            <w:r>
              <w:rPr>
                <w:rStyle w:val="17"/>
                <w:lang w:val="en-US" w:eastAsia="zh-CN" w:bidi="ar"/>
              </w:rPr>
              <w:t>分</w:t>
            </w:r>
          </w:p>
        </w:tc>
      </w:tr>
      <w:tr w14:paraId="2B819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6" w:hRule="atLeast"/>
          <w:jc w:val="center"/>
        </w:trPr>
        <w:tc>
          <w:tcPr>
            <w:tcW w:w="700" w:type="dxa"/>
            <w:vMerge w:val="continue"/>
            <w:tcBorders>
              <w:right w:val="single" w:color="auto" w:sz="4" w:space="0"/>
            </w:tcBorders>
            <w:vAlign w:val="center"/>
          </w:tcPr>
          <w:p w14:paraId="3C66FD3C">
            <w:pPr>
              <w:jc w:val="center"/>
              <w:rPr>
                <w:rFonts w:hint="default" w:ascii="Times New Roman" w:hAnsi="Times New Roman" w:cs="Times New Roman"/>
                <w:szCs w:val="21"/>
              </w:rPr>
            </w:pPr>
          </w:p>
        </w:tc>
        <w:tc>
          <w:tcPr>
            <w:tcW w:w="1143" w:type="dxa"/>
            <w:vMerge w:val="continue"/>
            <w:tcBorders>
              <w:left w:val="single" w:color="auto" w:sz="4" w:space="0"/>
              <w:right w:val="single" w:color="auto" w:sz="4" w:space="0"/>
            </w:tcBorders>
            <w:vAlign w:val="center"/>
          </w:tcPr>
          <w:p w14:paraId="75D045D1">
            <w:pPr>
              <w:jc w:val="center"/>
              <w:rPr>
                <w:rFonts w:hint="default" w:ascii="Times New Roman" w:hAnsi="Times New Roman" w:cs="Times New Roman"/>
              </w:rPr>
            </w:pPr>
          </w:p>
        </w:tc>
        <w:tc>
          <w:tcPr>
            <w:tcW w:w="6477" w:type="dxa"/>
            <w:tcBorders>
              <w:left w:val="single" w:color="auto" w:sz="4" w:space="0"/>
              <w:right w:val="single" w:color="auto" w:sz="4" w:space="0"/>
            </w:tcBorders>
            <w:vAlign w:val="center"/>
          </w:tcPr>
          <w:p w14:paraId="36C3FB11">
            <w:pPr>
              <w:keepNext w:val="0"/>
              <w:keepLines w:val="0"/>
              <w:widowControl/>
              <w:suppressLineNumbers w:val="0"/>
              <w:jc w:val="left"/>
              <w:textAlignment w:val="center"/>
              <w:rPr>
                <w:rFonts w:hint="default" w:ascii="Times New Roman" w:hAnsi="Times New Roman" w:cs="Times New Roman"/>
              </w:rPr>
            </w:pPr>
            <w:r>
              <w:rPr>
                <w:rFonts w:hint="eastAsia" w:ascii="宋体" w:hAnsi="宋体" w:eastAsia="宋体" w:cs="宋体"/>
                <w:i w:val="0"/>
                <w:iCs w:val="0"/>
                <w:color w:val="000000"/>
                <w:kern w:val="0"/>
                <w:sz w:val="21"/>
                <w:szCs w:val="21"/>
                <w:u w:val="none"/>
                <w:lang w:val="en-US" w:eastAsia="zh-CN" w:bidi="ar"/>
              </w:rPr>
              <w:t>（1）项目实施方案评价（满分20分）： 投标人对本项目的理解、整体规划、人员管理、工作措施、工作方法、工作流程等制定整体实施方案。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优（20分）：整体方案全面完善，详尽具体、科学合理、可行性强，完全满足客户的应用需求；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良（15分）：方案比较全面完善，有一定针对性、一定可操作性，较好满足客户的应用需求；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中（10分）：方案、针对性、可操作性一般，部分满足客户应用需求；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差（5分）：方案不全面不完善，无设计目标，未满足客户的应用需求。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没有不得分</w:t>
            </w:r>
          </w:p>
        </w:tc>
        <w:tc>
          <w:tcPr>
            <w:tcW w:w="949" w:type="dxa"/>
            <w:tcBorders>
              <w:left w:val="single" w:color="auto" w:sz="4" w:space="0"/>
              <w:right w:val="single" w:color="auto" w:sz="4" w:space="0"/>
            </w:tcBorders>
            <w:vAlign w:val="center"/>
          </w:tcPr>
          <w:p w14:paraId="632ABDDE">
            <w:pPr>
              <w:keepNext w:val="0"/>
              <w:keepLines w:val="0"/>
              <w:widowControl/>
              <w:suppressLineNumbers w:val="0"/>
              <w:jc w:val="center"/>
              <w:textAlignment w:val="center"/>
              <w:rPr>
                <w:rFonts w:hint="default" w:ascii="Times New Roman" w:hAnsi="Times New Roman" w:cs="Times New Roman"/>
                <w:szCs w:val="21"/>
              </w:rPr>
            </w:pPr>
            <w:r>
              <w:rPr>
                <w:rFonts w:hint="default" w:ascii="Times New Roman" w:hAnsi="Times New Roman" w:eastAsia="宋体" w:cs="Times New Roman"/>
                <w:i w:val="0"/>
                <w:iCs w:val="0"/>
                <w:color w:val="000000"/>
                <w:kern w:val="0"/>
                <w:sz w:val="21"/>
                <w:szCs w:val="21"/>
                <w:u w:val="none"/>
                <w:lang w:val="en-US" w:eastAsia="zh-CN" w:bidi="ar"/>
              </w:rPr>
              <w:t>20</w:t>
            </w:r>
            <w:r>
              <w:rPr>
                <w:rStyle w:val="17"/>
                <w:lang w:val="en-US" w:eastAsia="zh-CN" w:bidi="ar"/>
              </w:rPr>
              <w:t>分</w:t>
            </w:r>
          </w:p>
        </w:tc>
      </w:tr>
      <w:tr w14:paraId="65F66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6" w:hRule="atLeast"/>
          <w:jc w:val="center"/>
        </w:trPr>
        <w:tc>
          <w:tcPr>
            <w:tcW w:w="700" w:type="dxa"/>
            <w:vMerge w:val="continue"/>
            <w:tcBorders>
              <w:right w:val="single" w:color="auto" w:sz="4" w:space="0"/>
            </w:tcBorders>
            <w:vAlign w:val="center"/>
          </w:tcPr>
          <w:p w14:paraId="19EDF27A">
            <w:pPr>
              <w:jc w:val="center"/>
              <w:rPr>
                <w:rFonts w:hint="default" w:ascii="Times New Roman" w:hAnsi="Times New Roman" w:cs="Times New Roman"/>
                <w:szCs w:val="21"/>
              </w:rPr>
            </w:pPr>
          </w:p>
        </w:tc>
        <w:tc>
          <w:tcPr>
            <w:tcW w:w="1143" w:type="dxa"/>
            <w:vMerge w:val="continue"/>
            <w:tcBorders>
              <w:left w:val="single" w:color="auto" w:sz="4" w:space="0"/>
              <w:right w:val="single" w:color="auto" w:sz="4" w:space="0"/>
            </w:tcBorders>
            <w:vAlign w:val="center"/>
          </w:tcPr>
          <w:p w14:paraId="6D467786">
            <w:pPr>
              <w:jc w:val="center"/>
              <w:rPr>
                <w:rFonts w:hint="default" w:ascii="Times New Roman" w:hAnsi="Times New Roman" w:cs="Times New Roman"/>
              </w:rPr>
            </w:pPr>
          </w:p>
        </w:tc>
        <w:tc>
          <w:tcPr>
            <w:tcW w:w="6477" w:type="dxa"/>
            <w:tcBorders>
              <w:left w:val="single" w:color="auto" w:sz="4" w:space="0"/>
              <w:right w:val="single" w:color="auto" w:sz="4" w:space="0"/>
            </w:tcBorders>
            <w:vAlign w:val="center"/>
          </w:tcPr>
          <w:p w14:paraId="62054281">
            <w:pPr>
              <w:keepNext w:val="0"/>
              <w:keepLines w:val="0"/>
              <w:widowControl/>
              <w:suppressLineNumbers w:val="0"/>
              <w:jc w:val="left"/>
              <w:textAlignment w:val="center"/>
              <w:rPr>
                <w:rFonts w:hint="default" w:ascii="Times New Roman" w:hAnsi="Times New Roman" w:cs="Times New Roman"/>
              </w:rPr>
            </w:pPr>
            <w:r>
              <w:rPr>
                <w:rFonts w:hint="eastAsia" w:ascii="宋体" w:hAnsi="宋体" w:eastAsia="宋体" w:cs="宋体"/>
                <w:i w:val="0"/>
                <w:iCs w:val="0"/>
                <w:color w:val="000000"/>
                <w:kern w:val="0"/>
                <w:sz w:val="21"/>
                <w:szCs w:val="21"/>
                <w:u w:val="none"/>
                <w:lang w:val="en-US" w:eastAsia="zh-CN" w:bidi="ar"/>
              </w:rPr>
              <w:t>（2）重点难点分析与应对（满分20分）：针对审稿、出版、印刷等项目重点难点进行分析，提出应对措施及相关的合理化建议。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优（20分）：项目理解透彻，思路清晰，能精准识别重难点，分析深入，应对措施具体、合理、有建设性；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良（15分）：项目理解较好，重难点分析准确，应对措施有效；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中（10分）：项目理解一般，重难点分析泛泛，应对措施较为笼统；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差（5分）：项目概述模糊，无有效分析。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没有不得分</w:t>
            </w:r>
          </w:p>
        </w:tc>
        <w:tc>
          <w:tcPr>
            <w:tcW w:w="949" w:type="dxa"/>
            <w:tcBorders>
              <w:left w:val="single" w:color="auto" w:sz="4" w:space="0"/>
              <w:right w:val="single" w:color="auto" w:sz="4" w:space="0"/>
            </w:tcBorders>
            <w:vAlign w:val="center"/>
          </w:tcPr>
          <w:p w14:paraId="3CCDC7FB">
            <w:pPr>
              <w:keepNext w:val="0"/>
              <w:keepLines w:val="0"/>
              <w:widowControl/>
              <w:suppressLineNumbers w:val="0"/>
              <w:jc w:val="center"/>
              <w:textAlignment w:val="center"/>
              <w:rPr>
                <w:rFonts w:hint="default" w:ascii="Times New Roman" w:hAnsi="Times New Roman" w:cs="Times New Roman"/>
                <w:szCs w:val="21"/>
              </w:rPr>
            </w:pPr>
            <w:r>
              <w:rPr>
                <w:rFonts w:hint="default" w:ascii="Times New Roman" w:hAnsi="Times New Roman" w:eastAsia="宋体" w:cs="Times New Roman"/>
                <w:i w:val="0"/>
                <w:iCs w:val="0"/>
                <w:color w:val="000000"/>
                <w:kern w:val="0"/>
                <w:sz w:val="21"/>
                <w:szCs w:val="21"/>
                <w:u w:val="none"/>
                <w:lang w:val="en-US" w:eastAsia="zh-CN" w:bidi="ar"/>
              </w:rPr>
              <w:t>20</w:t>
            </w:r>
            <w:r>
              <w:rPr>
                <w:rStyle w:val="17"/>
                <w:lang w:val="en-US" w:eastAsia="zh-CN" w:bidi="ar"/>
              </w:rPr>
              <w:t>分</w:t>
            </w:r>
          </w:p>
        </w:tc>
      </w:tr>
      <w:tr w14:paraId="20B92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6" w:hRule="atLeast"/>
          <w:jc w:val="center"/>
        </w:trPr>
        <w:tc>
          <w:tcPr>
            <w:tcW w:w="700" w:type="dxa"/>
            <w:vMerge w:val="continue"/>
            <w:tcBorders>
              <w:right w:val="single" w:color="auto" w:sz="4" w:space="0"/>
            </w:tcBorders>
            <w:vAlign w:val="center"/>
          </w:tcPr>
          <w:p w14:paraId="643BEA5B">
            <w:pPr>
              <w:jc w:val="center"/>
              <w:rPr>
                <w:rFonts w:hint="default" w:ascii="Times New Roman" w:hAnsi="Times New Roman" w:cs="Times New Roman"/>
                <w:szCs w:val="21"/>
              </w:rPr>
            </w:pPr>
          </w:p>
        </w:tc>
        <w:tc>
          <w:tcPr>
            <w:tcW w:w="1143" w:type="dxa"/>
            <w:vMerge w:val="continue"/>
            <w:tcBorders>
              <w:left w:val="single" w:color="auto" w:sz="4" w:space="0"/>
              <w:right w:val="single" w:color="auto" w:sz="4" w:space="0"/>
            </w:tcBorders>
            <w:vAlign w:val="center"/>
          </w:tcPr>
          <w:p w14:paraId="0CC74BAE">
            <w:pPr>
              <w:jc w:val="center"/>
              <w:rPr>
                <w:rFonts w:hint="default" w:ascii="Times New Roman" w:hAnsi="Times New Roman" w:cs="Times New Roman"/>
              </w:rPr>
            </w:pPr>
          </w:p>
        </w:tc>
        <w:tc>
          <w:tcPr>
            <w:tcW w:w="6477" w:type="dxa"/>
            <w:tcBorders>
              <w:left w:val="single" w:color="auto" w:sz="4" w:space="0"/>
              <w:right w:val="single" w:color="auto" w:sz="4" w:space="0"/>
            </w:tcBorders>
            <w:vAlign w:val="center"/>
          </w:tcPr>
          <w:p w14:paraId="529F49BB">
            <w:pPr>
              <w:keepNext w:val="0"/>
              <w:keepLines w:val="0"/>
              <w:widowControl/>
              <w:suppressLineNumbers w:val="0"/>
              <w:jc w:val="left"/>
              <w:textAlignment w:val="center"/>
              <w:rPr>
                <w:rFonts w:hint="default" w:ascii="Times New Roman" w:hAnsi="Times New Roman" w:cs="Times New Roman"/>
              </w:rPr>
            </w:pPr>
            <w:r>
              <w:rPr>
                <w:rFonts w:hint="eastAsia" w:ascii="宋体" w:hAnsi="宋体" w:eastAsia="宋体" w:cs="宋体"/>
                <w:i w:val="0"/>
                <w:iCs w:val="0"/>
                <w:color w:val="000000"/>
                <w:kern w:val="0"/>
                <w:sz w:val="21"/>
                <w:szCs w:val="21"/>
                <w:u w:val="none"/>
                <w:lang w:val="en-US" w:eastAsia="zh-CN" w:bidi="ar"/>
              </w:rPr>
              <w:t>（3）质量与安全保障方案（满分20分）：质量（完成时间、成稿质量、资料安全）保障措施及方案。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优（20分）：有详细完善的质量、保密保障措施及方案，并且方案具有针对性，可操作性强。确保完成时限符合项目服务期要求，成稿质量规范准确，出版、印刷符合国家图书出版管理条例标准；书籍编撰过程中的所有资料及成稿信息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良（15分）：有具体的质量、保密保障措施及方案，但方案针对性不足，且质量未能满足全部要求；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中（10分）：有具体的质量、保密保障措施及方案，但方案无针对性，且时间安排不够合理，成稿质量无法保证；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差（5分）：没有具体的质量、保密保障措施及方案，且存在泄密风险。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没有不得分</w:t>
            </w:r>
          </w:p>
        </w:tc>
        <w:tc>
          <w:tcPr>
            <w:tcW w:w="949" w:type="dxa"/>
            <w:tcBorders>
              <w:left w:val="single" w:color="auto" w:sz="4" w:space="0"/>
              <w:right w:val="single" w:color="auto" w:sz="4" w:space="0"/>
            </w:tcBorders>
            <w:vAlign w:val="center"/>
          </w:tcPr>
          <w:p w14:paraId="5BECA66A">
            <w:pPr>
              <w:keepNext w:val="0"/>
              <w:keepLines w:val="0"/>
              <w:widowControl/>
              <w:suppressLineNumbers w:val="0"/>
              <w:jc w:val="center"/>
              <w:textAlignment w:val="center"/>
              <w:rPr>
                <w:rFonts w:hint="default" w:ascii="Times New Roman" w:hAnsi="Times New Roman" w:cs="Times New Roman"/>
                <w:szCs w:val="21"/>
              </w:rPr>
            </w:pPr>
            <w:r>
              <w:rPr>
                <w:rFonts w:hint="default" w:ascii="Times New Roman" w:hAnsi="Times New Roman" w:eastAsia="宋体" w:cs="Times New Roman"/>
                <w:i w:val="0"/>
                <w:iCs w:val="0"/>
                <w:color w:val="000000"/>
                <w:kern w:val="0"/>
                <w:sz w:val="21"/>
                <w:szCs w:val="21"/>
                <w:u w:val="none"/>
                <w:lang w:val="en-US" w:eastAsia="zh-CN" w:bidi="ar"/>
              </w:rPr>
              <w:t>20</w:t>
            </w:r>
            <w:r>
              <w:rPr>
                <w:rStyle w:val="17"/>
                <w:lang w:val="en-US" w:eastAsia="zh-CN" w:bidi="ar"/>
              </w:rPr>
              <w:t>分</w:t>
            </w:r>
          </w:p>
        </w:tc>
      </w:tr>
      <w:tr w14:paraId="31B7A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6" w:hRule="atLeast"/>
          <w:jc w:val="center"/>
        </w:trPr>
        <w:tc>
          <w:tcPr>
            <w:tcW w:w="700" w:type="dxa"/>
            <w:tcBorders>
              <w:right w:val="single" w:color="auto" w:sz="4" w:space="0"/>
            </w:tcBorders>
            <w:vAlign w:val="center"/>
          </w:tcPr>
          <w:p w14:paraId="6A3A3A0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5</w:t>
            </w:r>
          </w:p>
        </w:tc>
        <w:tc>
          <w:tcPr>
            <w:tcW w:w="1143" w:type="dxa"/>
            <w:tcBorders>
              <w:left w:val="single" w:color="auto" w:sz="4" w:space="0"/>
              <w:right w:val="single" w:color="auto" w:sz="4" w:space="0"/>
            </w:tcBorders>
            <w:vAlign w:val="center"/>
          </w:tcPr>
          <w:p w14:paraId="679256DE">
            <w:pPr>
              <w:adjustRightInd w:val="0"/>
              <w:snapToGrid w:val="0"/>
              <w:spacing w:line="360" w:lineRule="auto"/>
              <w:jc w:val="center"/>
              <w:rPr>
                <w:rFonts w:hint="default" w:ascii="Times New Roman" w:hAnsi="Times New Roman" w:cs="Times New Roman"/>
                <w:szCs w:val="21"/>
                <w:lang w:eastAsia="zh-CN"/>
              </w:rPr>
            </w:pPr>
            <w:r>
              <w:rPr>
                <w:rFonts w:hint="default" w:ascii="Times New Roman" w:hAnsi="Times New Roman" w:cs="Times New Roman"/>
                <w:szCs w:val="21"/>
                <w:lang w:eastAsia="zh-CN"/>
              </w:rPr>
              <w:t>业绩分</w:t>
            </w:r>
          </w:p>
        </w:tc>
        <w:tc>
          <w:tcPr>
            <w:tcW w:w="6477" w:type="dxa"/>
            <w:tcBorders>
              <w:top w:val="single" w:color="auto" w:sz="4" w:space="0"/>
              <w:left w:val="single" w:color="auto" w:sz="4" w:space="0"/>
              <w:right w:val="single" w:color="auto" w:sz="4" w:space="0"/>
            </w:tcBorders>
          </w:tcPr>
          <w:p w14:paraId="0A0F8A52">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Cs w:val="21"/>
              </w:rPr>
            </w:pPr>
            <w:r>
              <w:rPr>
                <w:rFonts w:hint="default" w:ascii="Times New Roman" w:hAnsi="Times New Roman" w:cs="Times New Roman"/>
                <w:szCs w:val="21"/>
                <w:lang w:eastAsia="zh-CN"/>
              </w:rPr>
              <w:t>近</w:t>
            </w:r>
            <w:r>
              <w:rPr>
                <w:rFonts w:hint="default" w:ascii="Times New Roman" w:hAnsi="Times New Roman" w:cs="Times New Roman"/>
                <w:szCs w:val="21"/>
                <w:lang w:val="en-US" w:eastAsia="zh-CN"/>
              </w:rPr>
              <w:t>3年</w:t>
            </w:r>
            <w:r>
              <w:rPr>
                <w:rFonts w:hint="default" w:ascii="Times New Roman" w:hAnsi="Times New Roman" w:cs="Times New Roman"/>
                <w:szCs w:val="21"/>
              </w:rPr>
              <w:t>，供应商具有本次采购内容同类项目业绩，每项业绩得</w:t>
            </w:r>
            <w:r>
              <w:rPr>
                <w:rFonts w:hint="default" w:ascii="Times New Roman" w:hAnsi="Times New Roman" w:cs="Times New Roman"/>
                <w:szCs w:val="21"/>
                <w:lang w:val="en-US" w:eastAsia="zh-CN"/>
              </w:rPr>
              <w:t>1</w:t>
            </w:r>
            <w:r>
              <w:rPr>
                <w:rFonts w:hint="default" w:ascii="Times New Roman" w:hAnsi="Times New Roman" w:cs="Times New Roman"/>
                <w:szCs w:val="21"/>
              </w:rPr>
              <w:t>分，满分</w:t>
            </w:r>
            <w:r>
              <w:rPr>
                <w:rFonts w:hint="default" w:ascii="Times New Roman" w:hAnsi="Times New Roman" w:cs="Times New Roman"/>
                <w:szCs w:val="21"/>
                <w:lang w:val="en-US" w:eastAsia="zh-CN"/>
              </w:rPr>
              <w:t>5</w:t>
            </w:r>
            <w:r>
              <w:rPr>
                <w:rFonts w:hint="default" w:ascii="Times New Roman" w:hAnsi="Times New Roman" w:cs="Times New Roman"/>
                <w:szCs w:val="21"/>
              </w:rPr>
              <w:t>分（提供有效合同复印件或中标、成交通知书复印件并加盖公章）。</w:t>
            </w:r>
          </w:p>
        </w:tc>
        <w:tc>
          <w:tcPr>
            <w:tcW w:w="949" w:type="dxa"/>
            <w:tcBorders>
              <w:top w:val="single" w:color="auto" w:sz="4" w:space="0"/>
              <w:left w:val="single" w:color="auto" w:sz="4" w:space="0"/>
              <w:bottom w:val="single" w:color="auto" w:sz="4" w:space="0"/>
              <w:right w:val="single" w:color="auto" w:sz="4" w:space="0"/>
            </w:tcBorders>
            <w:vAlign w:val="center"/>
          </w:tcPr>
          <w:p w14:paraId="49CE8F3E">
            <w:pPr>
              <w:adjustRightInd w:val="0"/>
              <w:snapToGrid w:val="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5分</w:t>
            </w:r>
          </w:p>
        </w:tc>
      </w:tr>
      <w:tr w14:paraId="0F07A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6" w:hRule="atLeast"/>
          <w:jc w:val="center"/>
        </w:trPr>
        <w:tc>
          <w:tcPr>
            <w:tcW w:w="700" w:type="dxa"/>
            <w:tcBorders>
              <w:right w:val="single" w:color="auto" w:sz="4" w:space="0"/>
            </w:tcBorders>
            <w:vAlign w:val="center"/>
          </w:tcPr>
          <w:p w14:paraId="7F8CAF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6</w:t>
            </w:r>
          </w:p>
        </w:tc>
        <w:tc>
          <w:tcPr>
            <w:tcW w:w="1143" w:type="dxa"/>
            <w:tcBorders>
              <w:left w:val="single" w:color="auto" w:sz="4" w:space="0"/>
              <w:right w:val="single" w:color="auto" w:sz="4" w:space="0"/>
            </w:tcBorders>
            <w:vAlign w:val="center"/>
          </w:tcPr>
          <w:p w14:paraId="5E3C84EE">
            <w:pPr>
              <w:adjustRightInd w:val="0"/>
              <w:snapToGrid w:val="0"/>
              <w:spacing w:line="360" w:lineRule="auto"/>
              <w:jc w:val="center"/>
              <w:rPr>
                <w:rFonts w:hint="default" w:ascii="Times New Roman" w:hAnsi="Times New Roman" w:cs="Times New Roman"/>
                <w:szCs w:val="21"/>
                <w:lang w:eastAsia="zh-CN"/>
              </w:rPr>
            </w:pPr>
            <w:r>
              <w:rPr>
                <w:rFonts w:hint="default" w:ascii="Times New Roman" w:hAnsi="Times New Roman" w:cs="Times New Roman"/>
                <w:szCs w:val="21"/>
                <w:lang w:eastAsia="zh-CN"/>
              </w:rPr>
              <w:t>实物样品份</w:t>
            </w:r>
          </w:p>
        </w:tc>
        <w:tc>
          <w:tcPr>
            <w:tcW w:w="6477" w:type="dxa"/>
            <w:tcBorders>
              <w:top w:val="single" w:color="auto" w:sz="4" w:space="0"/>
              <w:left w:val="single" w:color="auto" w:sz="4" w:space="0"/>
              <w:right w:val="single" w:color="auto" w:sz="4" w:space="0"/>
            </w:tcBorders>
          </w:tcPr>
          <w:p w14:paraId="58B30255">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Cs w:val="21"/>
              </w:rPr>
            </w:pPr>
            <w:r>
              <w:rPr>
                <w:rFonts w:hint="default" w:ascii="Times New Roman" w:hAnsi="Times New Roman" w:cs="Times New Roman"/>
                <w:szCs w:val="21"/>
              </w:rPr>
              <w:t>本项目为书籍出版，最终效果难以从文件中判断，故以供应商过往同类书籍实物样品作为重要评审依据，对封面设计、印制装帧、内文版式、纸张材质进行综</w:t>
            </w:r>
            <w:r>
              <w:rPr>
                <w:rFonts w:hint="default" w:ascii="Times New Roman" w:hAnsi="Times New Roman" w:cs="Times New Roman"/>
                <w:color w:val="auto"/>
                <w:szCs w:val="21"/>
              </w:rPr>
              <w:t>合评分</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本项满分10分</w:t>
            </w:r>
            <w:r>
              <w:rPr>
                <w:rFonts w:hint="default" w:ascii="Times New Roman" w:hAnsi="Times New Roman" w:cs="Times New Roman"/>
                <w:color w:val="auto"/>
                <w:szCs w:val="21"/>
              </w:rPr>
              <w:t>。</w:t>
            </w:r>
          </w:p>
          <w:p w14:paraId="33D2F59C">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Cs w:val="21"/>
              </w:rPr>
            </w:pPr>
            <w:r>
              <w:rPr>
                <w:rFonts w:hint="default" w:ascii="Times New Roman" w:hAnsi="Times New Roman" w:cs="Times New Roman"/>
                <w:color w:val="auto"/>
                <w:spacing w:val="-6"/>
                <w:szCs w:val="21"/>
              </w:rPr>
              <w:t>（1）</w:t>
            </w:r>
            <w:r>
              <w:rPr>
                <w:rFonts w:hint="default" w:ascii="Times New Roman" w:hAnsi="Times New Roman" w:cs="Times New Roman"/>
                <w:color w:val="auto"/>
                <w:szCs w:val="21"/>
              </w:rPr>
              <w:t>封面设计美观度（</w:t>
            </w:r>
            <w:r>
              <w:rPr>
                <w:rFonts w:hint="eastAsia" w:ascii="Times New Roman" w:hAnsi="Times New Roman" w:cs="Times New Roman"/>
                <w:color w:val="auto"/>
                <w:szCs w:val="21"/>
                <w:lang w:val="en-US" w:eastAsia="zh-CN"/>
              </w:rPr>
              <w:t>满分</w:t>
            </w:r>
            <w:r>
              <w:rPr>
                <w:rFonts w:hint="default" w:ascii="Times New Roman" w:hAnsi="Times New Roman" w:cs="Times New Roman"/>
                <w:color w:val="auto"/>
                <w:szCs w:val="21"/>
              </w:rPr>
              <w:t>3分）：精美大方3分；一般2分；较差1分；未提供0分。</w:t>
            </w:r>
          </w:p>
          <w:p w14:paraId="423E2C17">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Cs w:val="21"/>
              </w:rPr>
            </w:pPr>
            <w:r>
              <w:rPr>
                <w:rFonts w:hint="default" w:ascii="Times New Roman" w:hAnsi="Times New Roman" w:cs="Times New Roman"/>
                <w:color w:val="auto"/>
                <w:spacing w:val="-6"/>
                <w:szCs w:val="21"/>
              </w:rPr>
              <w:t>（</w:t>
            </w:r>
            <w:r>
              <w:rPr>
                <w:rFonts w:hint="default" w:ascii="Times New Roman" w:hAnsi="Times New Roman" w:cs="Times New Roman"/>
                <w:color w:val="auto"/>
                <w:spacing w:val="-6"/>
                <w:szCs w:val="21"/>
                <w:lang w:val="en-US" w:eastAsia="zh-CN"/>
              </w:rPr>
              <w:t>2</w:t>
            </w:r>
            <w:r>
              <w:rPr>
                <w:rFonts w:hint="default" w:ascii="Times New Roman" w:hAnsi="Times New Roman" w:cs="Times New Roman"/>
                <w:color w:val="auto"/>
                <w:spacing w:val="-6"/>
                <w:szCs w:val="21"/>
              </w:rPr>
              <w:t>）</w:t>
            </w:r>
            <w:r>
              <w:rPr>
                <w:rFonts w:hint="default" w:ascii="Times New Roman" w:hAnsi="Times New Roman" w:cs="Times New Roman"/>
                <w:color w:val="auto"/>
                <w:szCs w:val="21"/>
              </w:rPr>
              <w:t>印制装帧工艺（</w:t>
            </w:r>
            <w:r>
              <w:rPr>
                <w:rFonts w:hint="eastAsia" w:ascii="Times New Roman" w:hAnsi="Times New Roman" w:cs="Times New Roman"/>
                <w:color w:val="auto"/>
                <w:szCs w:val="21"/>
                <w:lang w:val="en-US" w:eastAsia="zh-CN"/>
              </w:rPr>
              <w:t>满分</w:t>
            </w:r>
            <w:r>
              <w:rPr>
                <w:rFonts w:hint="default" w:ascii="Times New Roman" w:hAnsi="Times New Roman" w:cs="Times New Roman"/>
                <w:color w:val="auto"/>
                <w:szCs w:val="21"/>
              </w:rPr>
              <w:t>3分）：印制水平高、装帧精美3分；一般2分；较差1分；未提供0分。</w:t>
            </w:r>
          </w:p>
          <w:p w14:paraId="150E6CFB">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Cs w:val="21"/>
              </w:rPr>
            </w:pPr>
            <w:r>
              <w:rPr>
                <w:rFonts w:hint="default" w:ascii="Times New Roman" w:hAnsi="Times New Roman" w:cs="Times New Roman"/>
                <w:color w:val="auto"/>
                <w:spacing w:val="-6"/>
                <w:szCs w:val="21"/>
              </w:rPr>
              <w:t>（</w:t>
            </w:r>
            <w:r>
              <w:rPr>
                <w:rFonts w:hint="default" w:ascii="Times New Roman" w:hAnsi="Times New Roman" w:cs="Times New Roman"/>
                <w:color w:val="auto"/>
                <w:spacing w:val="-6"/>
                <w:szCs w:val="21"/>
                <w:lang w:val="en-US" w:eastAsia="zh-CN"/>
              </w:rPr>
              <w:t>3</w:t>
            </w:r>
            <w:r>
              <w:rPr>
                <w:rFonts w:hint="default" w:ascii="Times New Roman" w:hAnsi="Times New Roman" w:cs="Times New Roman"/>
                <w:color w:val="auto"/>
                <w:spacing w:val="-6"/>
                <w:szCs w:val="21"/>
              </w:rPr>
              <w:t>）</w:t>
            </w:r>
            <w:r>
              <w:rPr>
                <w:rFonts w:hint="default" w:ascii="Times New Roman" w:hAnsi="Times New Roman" w:cs="Times New Roman"/>
                <w:color w:val="auto"/>
                <w:szCs w:val="21"/>
              </w:rPr>
              <w:t>内文版式设计（</w:t>
            </w:r>
            <w:r>
              <w:rPr>
                <w:rFonts w:hint="eastAsia" w:ascii="Times New Roman" w:hAnsi="Times New Roman" w:cs="Times New Roman"/>
                <w:color w:val="auto"/>
                <w:szCs w:val="21"/>
                <w:lang w:val="en-US" w:eastAsia="zh-CN"/>
              </w:rPr>
              <w:t>满分</w:t>
            </w:r>
            <w:r>
              <w:rPr>
                <w:rFonts w:hint="default" w:ascii="Times New Roman" w:hAnsi="Times New Roman" w:cs="Times New Roman"/>
                <w:color w:val="auto"/>
                <w:szCs w:val="21"/>
              </w:rPr>
              <w:t>2分）：整洁合理2分；一般1分；较差或未提供0分。</w:t>
            </w:r>
          </w:p>
          <w:p w14:paraId="1E51BEFC">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Cs w:val="21"/>
              </w:rPr>
            </w:pPr>
            <w:r>
              <w:rPr>
                <w:rFonts w:hint="default" w:ascii="Times New Roman" w:hAnsi="Times New Roman" w:cs="Times New Roman"/>
                <w:color w:val="auto"/>
                <w:spacing w:val="-6"/>
                <w:szCs w:val="21"/>
              </w:rPr>
              <w:t>（</w:t>
            </w:r>
            <w:r>
              <w:rPr>
                <w:rFonts w:hint="default" w:ascii="Times New Roman" w:hAnsi="Times New Roman" w:cs="Times New Roman"/>
                <w:color w:val="auto"/>
                <w:spacing w:val="-6"/>
                <w:szCs w:val="21"/>
                <w:lang w:val="en-US" w:eastAsia="zh-CN"/>
              </w:rPr>
              <w:t>4</w:t>
            </w:r>
            <w:r>
              <w:rPr>
                <w:rFonts w:hint="default" w:ascii="Times New Roman" w:hAnsi="Times New Roman" w:cs="Times New Roman"/>
                <w:color w:val="auto"/>
                <w:spacing w:val="-6"/>
                <w:szCs w:val="21"/>
              </w:rPr>
              <w:t>）</w:t>
            </w:r>
            <w:r>
              <w:rPr>
                <w:rFonts w:hint="default" w:ascii="Times New Roman" w:hAnsi="Times New Roman" w:cs="Times New Roman"/>
                <w:color w:val="auto"/>
                <w:szCs w:val="21"/>
              </w:rPr>
              <w:t>纸张材质质量（</w:t>
            </w:r>
            <w:r>
              <w:rPr>
                <w:rFonts w:hint="eastAsia" w:ascii="Times New Roman" w:hAnsi="Times New Roman" w:cs="Times New Roman"/>
                <w:color w:val="auto"/>
                <w:szCs w:val="21"/>
                <w:lang w:val="en-US" w:eastAsia="zh-CN"/>
              </w:rPr>
              <w:t>满分</w:t>
            </w:r>
            <w:r>
              <w:rPr>
                <w:rFonts w:hint="default" w:ascii="Times New Roman" w:hAnsi="Times New Roman" w:cs="Times New Roman"/>
                <w:color w:val="auto"/>
                <w:szCs w:val="21"/>
              </w:rPr>
              <w:t>2分）：无色</w:t>
            </w:r>
            <w:r>
              <w:rPr>
                <w:rFonts w:hint="default" w:ascii="Times New Roman" w:hAnsi="Times New Roman" w:cs="Times New Roman"/>
                <w:szCs w:val="21"/>
              </w:rPr>
              <w:t>差、质量高2分；色差较少1分；色差较多或未提供0分。</w:t>
            </w:r>
          </w:p>
        </w:tc>
        <w:tc>
          <w:tcPr>
            <w:tcW w:w="949" w:type="dxa"/>
            <w:tcBorders>
              <w:top w:val="single" w:color="auto" w:sz="4" w:space="0"/>
              <w:left w:val="single" w:color="auto" w:sz="4" w:space="0"/>
              <w:bottom w:val="single" w:color="auto" w:sz="4" w:space="0"/>
              <w:right w:val="single" w:color="auto" w:sz="4" w:space="0"/>
            </w:tcBorders>
            <w:vAlign w:val="center"/>
          </w:tcPr>
          <w:p w14:paraId="09D2F2B5">
            <w:pPr>
              <w:adjustRightInd w:val="0"/>
              <w:snapToGrid w:val="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10分</w:t>
            </w:r>
          </w:p>
        </w:tc>
      </w:tr>
      <w:tr w14:paraId="37797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6" w:hRule="atLeast"/>
          <w:jc w:val="center"/>
        </w:trPr>
        <w:tc>
          <w:tcPr>
            <w:tcW w:w="700" w:type="dxa"/>
            <w:tcBorders>
              <w:right w:val="single" w:color="auto" w:sz="4" w:space="0"/>
            </w:tcBorders>
            <w:vAlign w:val="center"/>
          </w:tcPr>
          <w:p w14:paraId="791624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7</w:t>
            </w:r>
          </w:p>
        </w:tc>
        <w:tc>
          <w:tcPr>
            <w:tcW w:w="1143" w:type="dxa"/>
            <w:tcBorders>
              <w:left w:val="single" w:color="auto" w:sz="4" w:space="0"/>
              <w:right w:val="single" w:color="auto" w:sz="4" w:space="0"/>
            </w:tcBorders>
            <w:vAlign w:val="center"/>
          </w:tcPr>
          <w:p w14:paraId="617929D3">
            <w:pPr>
              <w:adjustRightInd w:val="0"/>
              <w:snapToGrid w:val="0"/>
              <w:spacing w:line="360" w:lineRule="auto"/>
              <w:jc w:val="center"/>
              <w:rPr>
                <w:rFonts w:hint="default" w:ascii="Times New Roman" w:hAnsi="Times New Roman" w:eastAsia="宋体" w:cs="Times New Roman"/>
                <w:lang w:eastAsia="zh-CN"/>
              </w:rPr>
            </w:pPr>
            <w:r>
              <w:rPr>
                <w:rFonts w:hint="default" w:ascii="Times New Roman" w:hAnsi="Times New Roman" w:cs="Times New Roman"/>
                <w:szCs w:val="21"/>
                <w:lang w:eastAsia="zh-CN"/>
              </w:rPr>
              <w:t>人员配备分</w:t>
            </w:r>
          </w:p>
        </w:tc>
        <w:tc>
          <w:tcPr>
            <w:tcW w:w="6477" w:type="dxa"/>
            <w:tcBorders>
              <w:top w:val="single" w:color="auto" w:sz="4" w:space="0"/>
              <w:left w:val="single" w:color="auto" w:sz="4" w:space="0"/>
              <w:right w:val="single" w:color="auto" w:sz="4" w:space="0"/>
            </w:tcBorders>
          </w:tcPr>
          <w:p w14:paraId="32BD05D1">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Cs w:val="21"/>
              </w:rPr>
            </w:pPr>
            <w:r>
              <w:rPr>
                <w:rFonts w:hint="default" w:ascii="Times New Roman" w:hAnsi="Times New Roman" w:cs="Times New Roman"/>
                <w:szCs w:val="21"/>
              </w:rPr>
              <w:t>评价项目团队配备情况（包括人员数量、专业资质、从业经验等）：</w:t>
            </w:r>
          </w:p>
          <w:p w14:paraId="162FE1B5">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Cs w:val="21"/>
              </w:rPr>
            </w:pPr>
            <w:r>
              <w:rPr>
                <w:rFonts w:hint="default" w:ascii="Times New Roman" w:hAnsi="Times New Roman" w:cs="Times New Roman"/>
                <w:szCs w:val="21"/>
              </w:rPr>
              <w:t>基本要求： 团队总人数不少于3人，其中须包含1名负责人。负责人须具备出版系列副高级及以上职称。</w:t>
            </w:r>
          </w:p>
          <w:p w14:paraId="71A6BE32">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Cs w:val="21"/>
              </w:rPr>
            </w:pPr>
            <w:r>
              <w:rPr>
                <w:rFonts w:hint="default" w:ascii="Times New Roman" w:hAnsi="Times New Roman" w:cs="Times New Roman"/>
                <w:szCs w:val="21"/>
              </w:rPr>
              <w:t>评分标准：每提供1名符合要求人员的职称证书及由供应商缴纳的最近半年内任意连续三个月的社保证明复印件（加盖公章），得1分，本项最高得5分。</w:t>
            </w:r>
          </w:p>
          <w:p w14:paraId="791DB319">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Cs w:val="21"/>
              </w:rPr>
            </w:pPr>
            <w:r>
              <w:rPr>
                <w:rFonts w:hint="default" w:ascii="Times New Roman" w:hAnsi="Times New Roman" w:cs="Times New Roman"/>
                <w:szCs w:val="21"/>
              </w:rPr>
              <w:t>否决条款：若团队人数不足3人、负责人资质不符或上述证明材料不全者，本项不得分；</w:t>
            </w:r>
          </w:p>
          <w:p w14:paraId="30AC9FF9">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rPr>
            </w:pPr>
            <w:r>
              <w:rPr>
                <w:rFonts w:hint="default" w:ascii="Times New Roman" w:hAnsi="Times New Roman" w:cs="Times New Roman"/>
                <w:szCs w:val="21"/>
              </w:rPr>
              <w:t>若所有材料未提供复印件并加盖公章装订在标书内，将视为无效投标。</w:t>
            </w:r>
            <w:bookmarkStart w:id="0" w:name="_GoBack"/>
            <w:bookmarkEnd w:id="0"/>
          </w:p>
        </w:tc>
        <w:tc>
          <w:tcPr>
            <w:tcW w:w="949" w:type="dxa"/>
            <w:tcBorders>
              <w:top w:val="single" w:color="auto" w:sz="4" w:space="0"/>
              <w:left w:val="single" w:color="auto" w:sz="4" w:space="0"/>
              <w:bottom w:val="single" w:color="auto" w:sz="4" w:space="0"/>
              <w:right w:val="single" w:color="auto" w:sz="4" w:space="0"/>
            </w:tcBorders>
            <w:vAlign w:val="center"/>
          </w:tcPr>
          <w:p w14:paraId="6981E6A0">
            <w:pPr>
              <w:adjustRightInd w:val="0"/>
              <w:snapToGrid w:val="0"/>
              <w:jc w:val="center"/>
              <w:rPr>
                <w:rFonts w:hint="default" w:ascii="Times New Roman" w:hAnsi="Times New Roman" w:cs="Times New Roman"/>
                <w:szCs w:val="21"/>
              </w:rPr>
            </w:pPr>
            <w:r>
              <w:rPr>
                <w:rFonts w:hint="eastAsia" w:ascii="Times New Roman" w:hAnsi="Times New Roman" w:cs="Times New Roman"/>
                <w:szCs w:val="21"/>
                <w:lang w:val="en-US" w:eastAsia="zh-CN"/>
              </w:rPr>
              <w:t>5</w:t>
            </w:r>
            <w:r>
              <w:rPr>
                <w:rFonts w:hint="default" w:ascii="Times New Roman" w:hAnsi="Times New Roman" w:cs="Times New Roman"/>
                <w:szCs w:val="21"/>
              </w:rPr>
              <w:t>分</w:t>
            </w:r>
          </w:p>
        </w:tc>
      </w:tr>
      <w:tr w14:paraId="3D7EF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jc w:val="center"/>
        </w:trPr>
        <w:tc>
          <w:tcPr>
            <w:tcW w:w="700" w:type="dxa"/>
            <w:tcBorders>
              <w:top w:val="single" w:color="auto" w:sz="4" w:space="0"/>
              <w:right w:val="single" w:color="auto" w:sz="4" w:space="0"/>
            </w:tcBorders>
            <w:vAlign w:val="center"/>
          </w:tcPr>
          <w:p w14:paraId="5C5DBB6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Cs w:val="21"/>
              </w:rPr>
            </w:pPr>
            <w:r>
              <w:rPr>
                <w:rFonts w:hint="default" w:ascii="Times New Roman" w:hAnsi="Times New Roman" w:cs="Times New Roman"/>
                <w:szCs w:val="21"/>
              </w:rPr>
              <w:t>合计</w:t>
            </w:r>
          </w:p>
        </w:tc>
        <w:tc>
          <w:tcPr>
            <w:tcW w:w="8569" w:type="dxa"/>
            <w:gridSpan w:val="3"/>
            <w:tcBorders>
              <w:top w:val="single" w:color="auto" w:sz="4" w:space="0"/>
              <w:left w:val="single" w:color="auto" w:sz="4" w:space="0"/>
              <w:bottom w:val="single" w:color="auto" w:sz="4" w:space="0"/>
              <w:right w:val="single" w:color="auto" w:sz="4" w:space="0"/>
            </w:tcBorders>
            <w:vAlign w:val="center"/>
          </w:tcPr>
          <w:p w14:paraId="12EA31A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Cs w:val="21"/>
              </w:rPr>
            </w:pPr>
            <w:r>
              <w:rPr>
                <w:rFonts w:hint="default" w:ascii="Times New Roman" w:hAnsi="Times New Roman" w:cs="Times New Roman"/>
                <w:szCs w:val="21"/>
              </w:rPr>
              <w:t>100分</w:t>
            </w:r>
          </w:p>
        </w:tc>
      </w:tr>
    </w:tbl>
    <w:p w14:paraId="05692D58">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1" w:fontKey="{ECEBDA47-8FCE-487D-8DC4-DD589A796CEE}"/>
  </w:font>
  <w:font w:name="仿宋">
    <w:panose1 w:val="02010609060101010101"/>
    <w:charset w:val="86"/>
    <w:family w:val="modern"/>
    <w:pitch w:val="default"/>
    <w:sig w:usb0="800002BF" w:usb1="38CF7CFA" w:usb2="00000016" w:usb3="00000000" w:csb0="00040001" w:csb1="00000000"/>
    <w:embedRegular r:id="rId2" w:fontKey="{36F5191F-DBD5-40FE-A98C-5A63105ED307}"/>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1MjRmNTc0NmY4ZTM1OTM2ZWJkNjgwYzMzNTFiMDIifQ=="/>
  </w:docVars>
  <w:rsids>
    <w:rsidRoot w:val="00FC4506"/>
    <w:rsid w:val="00036339"/>
    <w:rsid w:val="00147271"/>
    <w:rsid w:val="00176B21"/>
    <w:rsid w:val="003A33D5"/>
    <w:rsid w:val="0054577A"/>
    <w:rsid w:val="00616FDD"/>
    <w:rsid w:val="007E566D"/>
    <w:rsid w:val="00902261"/>
    <w:rsid w:val="00BD5D32"/>
    <w:rsid w:val="00EF02EB"/>
    <w:rsid w:val="00F8487C"/>
    <w:rsid w:val="00FA25B9"/>
    <w:rsid w:val="00FC4506"/>
    <w:rsid w:val="09333C4A"/>
    <w:rsid w:val="0AE649B9"/>
    <w:rsid w:val="0F7058B6"/>
    <w:rsid w:val="18A04160"/>
    <w:rsid w:val="1C9E62C8"/>
    <w:rsid w:val="292521B4"/>
    <w:rsid w:val="33AB10CB"/>
    <w:rsid w:val="34817249"/>
    <w:rsid w:val="363C28AD"/>
    <w:rsid w:val="406C796F"/>
    <w:rsid w:val="42816B46"/>
    <w:rsid w:val="433148E9"/>
    <w:rsid w:val="433522C7"/>
    <w:rsid w:val="436C0635"/>
    <w:rsid w:val="55552A1F"/>
    <w:rsid w:val="5CD9425D"/>
    <w:rsid w:val="64197BEA"/>
    <w:rsid w:val="665315B9"/>
    <w:rsid w:val="711B55FF"/>
    <w:rsid w:val="722B7094"/>
    <w:rsid w:val="72E77A34"/>
    <w:rsid w:val="73E52962"/>
    <w:rsid w:val="77375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link w:val="12"/>
    <w:unhideWhenUsed/>
    <w:qFormat/>
    <w:uiPriority w:val="99"/>
    <w:pPr>
      <w:spacing w:after="120"/>
    </w:pPr>
  </w:style>
  <w:style w:type="paragraph" w:styleId="4">
    <w:name w:val="Balloon Text"/>
    <w:basedOn w:val="1"/>
    <w:link w:val="13"/>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6">
    <w:name w:val="header"/>
    <w:basedOn w:val="1"/>
    <w:link w:val="9"/>
    <w:unhideWhenUsed/>
    <w:qFormat/>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paragraph" w:customStyle="1" w:styleId="11">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2">
    <w:name w:val="正文文本 字符"/>
    <w:basedOn w:val="8"/>
    <w:link w:val="3"/>
    <w:qFormat/>
    <w:uiPriority w:val="99"/>
    <w:rPr>
      <w:rFonts w:ascii="Calibri" w:hAnsi="Calibri" w:eastAsia="宋体" w:cs="宋体"/>
      <w14:ligatures w14:val="none"/>
    </w:rPr>
  </w:style>
  <w:style w:type="character" w:customStyle="1" w:styleId="13">
    <w:name w:val="批注框文本 字符"/>
    <w:basedOn w:val="8"/>
    <w:link w:val="4"/>
    <w:semiHidden/>
    <w:qFormat/>
    <w:uiPriority w:val="99"/>
    <w:rPr>
      <w:rFonts w:ascii="Calibri" w:hAnsi="Calibri" w:eastAsia="宋体" w:cs="宋体"/>
      <w:kern w:val="2"/>
      <w:sz w:val="18"/>
      <w:szCs w:val="18"/>
    </w:rPr>
  </w:style>
  <w:style w:type="paragraph" w:styleId="14">
    <w:name w:val="List Paragraph"/>
    <w:basedOn w:val="1"/>
    <w:qFormat/>
    <w:uiPriority w:val="99"/>
    <w:pPr>
      <w:ind w:firstLine="420" w:firstLineChars="200"/>
    </w:pPr>
  </w:style>
  <w:style w:type="character" w:customStyle="1" w:styleId="15">
    <w:name w:val="font41"/>
    <w:basedOn w:val="8"/>
    <w:qFormat/>
    <w:uiPriority w:val="0"/>
    <w:rPr>
      <w:rFonts w:hint="default" w:ascii="Times New Roman" w:hAnsi="Times New Roman" w:cs="Times New Roman"/>
      <w:color w:val="000000"/>
      <w:sz w:val="21"/>
      <w:szCs w:val="21"/>
      <w:u w:val="none"/>
    </w:rPr>
  </w:style>
  <w:style w:type="character" w:customStyle="1" w:styleId="16">
    <w:name w:val="font31"/>
    <w:basedOn w:val="8"/>
    <w:qFormat/>
    <w:uiPriority w:val="0"/>
    <w:rPr>
      <w:rFonts w:hint="eastAsia" w:ascii="宋体" w:hAnsi="宋体" w:eastAsia="宋体" w:cs="宋体"/>
      <w:color w:val="000000"/>
      <w:sz w:val="21"/>
      <w:szCs w:val="21"/>
      <w:u w:val="none"/>
    </w:rPr>
  </w:style>
  <w:style w:type="character" w:customStyle="1" w:styleId="17">
    <w:name w:val="font21"/>
    <w:basedOn w:val="8"/>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1466</Words>
  <Characters>1493</Characters>
  <Lines>4</Lines>
  <Paragraphs>1</Paragraphs>
  <TotalTime>22</TotalTime>
  <ScaleCrop>false</ScaleCrop>
  <LinksUpToDate>false</LinksUpToDate>
  <CharactersWithSpaces>1500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2024-11-27T13:34:00Z</dcterms:created>
  <dc:creator>海涛 吴</dc:creator>
  <cp:lastModifiedBy>Lγon</cp:lastModifiedBy>
  <dcterms:modified xsi:type="dcterms:W3CDTF">2026-03-24T08:32:21Z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283EE15BAAE847F1B8262FD2E0BF1622_13</vt:lpwstr>
  </property>
  <property fmtid="{D5CDD505-2E9C-101B-9397-08002B2CF9AE}" pid="4" name="KSOTemplateDocerSaveRecord">
    <vt:lpwstr>eyJoZGlkIjoiNjg3Y2U2YWM1MDdhODZiYzNhN2IzMDJlOTMyNmI1YTYiLCJ1c2VySWQiOiIzMDEwMzM2MTYifQ==</vt:lpwstr>
  </property>
</Properties>
</file>