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8F5" w:rsidRDefault="00992935">
      <w:pPr>
        <w:keepNext/>
        <w:keepLines/>
        <w:wordWrap w:val="0"/>
        <w:snapToGrid w:val="0"/>
        <w:spacing w:line="400" w:lineRule="exact"/>
        <w:jc w:val="center"/>
        <w:rPr>
          <w:b/>
          <w:sz w:val="32"/>
          <w:szCs w:val="32"/>
        </w:rPr>
      </w:pPr>
      <w:r>
        <w:rPr>
          <w:rFonts w:hint="eastAsia"/>
          <w:b/>
          <w:sz w:val="32"/>
          <w:szCs w:val="32"/>
        </w:rPr>
        <w:t>检后管理系统</w:t>
      </w:r>
      <w:r>
        <w:rPr>
          <w:b/>
          <w:sz w:val="32"/>
          <w:szCs w:val="32"/>
        </w:rPr>
        <w:t>项目采购技术参数需求</w:t>
      </w:r>
    </w:p>
    <w:p w:rsidR="007E18F5" w:rsidRDefault="00992935">
      <w:pPr>
        <w:pStyle w:val="2"/>
        <w:keepNext/>
        <w:keepLines/>
        <w:numPr>
          <w:ilvl w:val="0"/>
          <w:numId w:val="3"/>
        </w:numPr>
        <w:wordWrap w:val="0"/>
        <w:spacing w:line="360" w:lineRule="atLeast"/>
        <w:jc w:val="left"/>
        <w:rPr>
          <w:color w:val="000000"/>
          <w:sz w:val="28"/>
          <w:szCs w:val="28"/>
        </w:rPr>
      </w:pPr>
      <w:bookmarkStart w:id="0" w:name="_GoBack"/>
      <w:bookmarkEnd w:id="0"/>
      <w:r>
        <w:rPr>
          <w:color w:val="000000"/>
          <w:sz w:val="28"/>
          <w:szCs w:val="28"/>
        </w:rPr>
        <w:t>检后健康管理系统（核心主模块）</w:t>
      </w:r>
    </w:p>
    <w:p w:rsidR="007E18F5" w:rsidRDefault="00992935">
      <w:pPr>
        <w:pStyle w:val="2"/>
        <w:keepNext/>
        <w:keepLines/>
        <w:numPr>
          <w:ilvl w:val="1"/>
          <w:numId w:val="0"/>
        </w:numPr>
        <w:wordWrap w:val="0"/>
        <w:spacing w:line="360" w:lineRule="atLeast"/>
        <w:jc w:val="left"/>
        <w:rPr>
          <w:color w:val="000000"/>
          <w:sz w:val="24"/>
          <w:szCs w:val="24"/>
        </w:rPr>
      </w:pPr>
      <w:r>
        <w:rPr>
          <w:color w:val="000000"/>
          <w:sz w:val="24"/>
          <w:szCs w:val="24"/>
        </w:rPr>
        <w:t>（一）健康风险评估与预测</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589"/>
        <w:gridCol w:w="2589"/>
        <w:gridCol w:w="1815"/>
      </w:tblGrid>
      <w:tr w:rsidR="007E18F5">
        <w:trPr>
          <w:tblHeade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2238"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多量表风险评估</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 xml:space="preserve"> ASCVD</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CDC</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301 </w:t>
            </w:r>
            <w:r>
              <w:rPr>
                <w:rFonts w:ascii="宋体" w:eastAsia="宋体" w:hAnsi="宋体" w:cs="宋体" w:hint="eastAsia"/>
                <w:color w:val="000000"/>
                <w:kern w:val="0"/>
                <w:sz w:val="22"/>
                <w:lang w:bidi="ar"/>
              </w:rPr>
              <w:t>医院慢病研究院等≥</w:t>
            </w:r>
            <w:r>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套标准问卷，自动采集信息并计算健康风险；支持综合性自定义问卷配置</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问卷智能适配（按年龄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性别</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基础病史自动推荐量表）、问卷作答智能引导（漏项提醒、逻辑校验）</w:t>
            </w:r>
          </w:p>
        </w:tc>
        <w:tc>
          <w:tcPr>
            <w:tcW w:w="2238"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支持问卷分页填写、中途暂存、拍照上传</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多维度风险评估报告</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自动生成</w:t>
            </w:r>
            <w:r>
              <w:rPr>
                <w:rFonts w:ascii="宋体" w:eastAsia="宋体" w:hAnsi="宋体" w:cs="宋体" w:hint="eastAsia"/>
                <w:color w:val="000000"/>
                <w:kern w:val="0"/>
                <w:sz w:val="22"/>
                <w:lang w:bidi="ar"/>
              </w:rPr>
              <w:t xml:space="preserve"> 25 </w:t>
            </w:r>
            <w:r>
              <w:rPr>
                <w:rFonts w:ascii="宋体" w:eastAsia="宋体" w:hAnsi="宋体" w:cs="宋体" w:hint="eastAsia"/>
                <w:color w:val="000000"/>
                <w:kern w:val="0"/>
                <w:sz w:val="22"/>
                <w:lang w:bidi="ar"/>
              </w:rPr>
              <w:t>大类疾病风险评估报告（心血管、内分泌、肿瘤等），包含绝对</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相对风险、风险因素；生成健康生活方式评分、膳食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运动习惯评价报告</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报告智能分级（高</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中</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低危）、风险因素可视化（雷达图</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热力图）、报告多版本输出（专业版</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通俗版</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移动端精简版）</w:t>
            </w:r>
          </w:p>
        </w:tc>
        <w:tc>
          <w:tcPr>
            <w:tcW w:w="2238"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 xml:space="preserve"> PDF </w:t>
            </w:r>
            <w:r>
              <w:rPr>
                <w:rFonts w:ascii="宋体" w:eastAsia="宋体" w:hAnsi="宋体" w:cs="宋体" w:hint="eastAsia"/>
                <w:color w:val="000000"/>
                <w:kern w:val="0"/>
                <w:sz w:val="22"/>
                <w:lang w:bidi="ar"/>
              </w:rPr>
              <w:t>导出、公众号</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小程序在线查看</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风险等级管理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系统自动标记四色预警等级；医生可根据多维度健康信息手动调整慢病风险等级，调整记录全程留痕</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风险等级动态更新（结合随访</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复查数据）、高风险因素自动</w:t>
            </w:r>
            <w:r>
              <w:rPr>
                <w:rFonts w:ascii="宋体" w:eastAsia="宋体" w:hAnsi="宋体" w:cs="宋体" w:hint="eastAsia"/>
                <w:color w:val="000000"/>
                <w:kern w:val="0"/>
                <w:sz w:val="22"/>
                <w:lang w:bidi="ar"/>
              </w:rPr>
              <w:t>标红并推送干预建议；风险等级升级预警（指标恶化自动触发）</w:t>
            </w:r>
          </w:p>
        </w:tc>
        <w:tc>
          <w:tcPr>
            <w:tcW w:w="2238"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预警规则支持管理员自定义配置</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专项健康评估</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完成</w:t>
            </w:r>
            <w:r>
              <w:rPr>
                <w:rFonts w:ascii="宋体" w:eastAsia="宋体" w:hAnsi="宋体" w:cs="宋体" w:hint="eastAsia"/>
                <w:color w:val="000000"/>
                <w:kern w:val="0"/>
                <w:sz w:val="22"/>
                <w:lang w:bidi="ar"/>
              </w:rPr>
              <w:t xml:space="preserve"> 9 </w:t>
            </w:r>
            <w:r>
              <w:rPr>
                <w:rFonts w:ascii="宋体" w:eastAsia="宋体" w:hAnsi="宋体" w:cs="宋体" w:hint="eastAsia"/>
                <w:color w:val="000000"/>
                <w:kern w:val="0"/>
                <w:sz w:val="22"/>
                <w:lang w:bidi="ar"/>
              </w:rPr>
              <w:t>种中医体质辨识并提供个性化改善建议</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处方库；支持</w:t>
            </w:r>
            <w:r>
              <w:rPr>
                <w:rFonts w:ascii="宋体" w:eastAsia="宋体" w:hAnsi="宋体" w:cs="宋体" w:hint="eastAsia"/>
                <w:color w:val="000000"/>
                <w:kern w:val="0"/>
                <w:sz w:val="22"/>
                <w:lang w:bidi="ar"/>
              </w:rPr>
              <w:t xml:space="preserve"> A </w:t>
            </w:r>
            <w:r>
              <w:rPr>
                <w:rFonts w:ascii="宋体" w:eastAsia="宋体" w:hAnsi="宋体" w:cs="宋体" w:hint="eastAsia"/>
                <w:color w:val="000000"/>
                <w:kern w:val="0"/>
                <w:sz w:val="22"/>
                <w:lang w:bidi="ar"/>
              </w:rPr>
              <w:t>型性格、</w:t>
            </w:r>
            <w:r>
              <w:rPr>
                <w:rFonts w:ascii="宋体" w:eastAsia="宋体" w:hAnsi="宋体" w:cs="宋体" w:hint="eastAsia"/>
                <w:color w:val="000000"/>
                <w:kern w:val="0"/>
                <w:sz w:val="22"/>
                <w:lang w:bidi="ar"/>
              </w:rPr>
              <w:t xml:space="preserve">PSTRI </w:t>
            </w:r>
            <w:r>
              <w:rPr>
                <w:rFonts w:ascii="宋体" w:eastAsia="宋体" w:hAnsi="宋体" w:cs="宋体" w:hint="eastAsia"/>
                <w:color w:val="000000"/>
                <w:kern w:val="0"/>
                <w:sz w:val="22"/>
                <w:lang w:bidi="ar"/>
              </w:rPr>
              <w:t>压力等心理状况评价；提供运动能力、睡眠质量专项评估并出具报告</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中医体质与慢病风险联动分析、心理评估与生活方式干预结合、运动能力评估适配运动处方生成</w:t>
            </w:r>
          </w:p>
        </w:tc>
        <w:tc>
          <w:tcPr>
            <w:tcW w:w="2238"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评估结果融入整体健康画像</w:t>
            </w:r>
          </w:p>
        </w:tc>
      </w:tr>
    </w:tbl>
    <w:p w:rsidR="007E18F5" w:rsidRDefault="00992935">
      <w:pPr>
        <w:pStyle w:val="2"/>
        <w:keepNext/>
        <w:keepLines/>
        <w:numPr>
          <w:ilvl w:val="0"/>
          <w:numId w:val="4"/>
        </w:numPr>
        <w:wordWrap w:val="0"/>
        <w:spacing w:line="360" w:lineRule="atLeast"/>
        <w:jc w:val="left"/>
        <w:rPr>
          <w:color w:val="000000"/>
          <w:sz w:val="24"/>
          <w:szCs w:val="24"/>
        </w:rPr>
      </w:pPr>
      <w:r>
        <w:rPr>
          <w:color w:val="000000"/>
          <w:sz w:val="24"/>
          <w:szCs w:val="24"/>
        </w:rPr>
        <w:t>全维度健康档案管理</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760"/>
        <w:gridCol w:w="2760"/>
        <w:gridCol w:w="1564"/>
      </w:tblGrid>
      <w:tr w:rsidR="007E18F5">
        <w:trPr>
          <w:tblHeader/>
          <w:jc w:val="center"/>
        </w:trPr>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180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标准化电子健康档案</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按国家公共卫生规范编制，涵盖基本信息、生活方式、脏器功能、检查结果、中医体质、现存问题、用药</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住院</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预防接种史等；分成人</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儿童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孕产妇</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精神疾病</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残疾人群等档案类型</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档案一人一档、终身追溯；档案数据自动同步（对接体检</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门诊</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住院系统）；敏感数据脱敏展示</w:t>
            </w:r>
          </w:p>
        </w:tc>
        <w:tc>
          <w:tcPr>
            <w:tcW w:w="180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支持档案查看、修改、打印、删除</w:t>
            </w:r>
          </w:p>
        </w:tc>
      </w:tr>
      <w:tr w:rsidR="007E18F5">
        <w:trPr>
          <w:jc w:val="center"/>
        </w:trPr>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体检档案管理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记录体检报告、体检时间、次数，支持体检数据明细查询；系统根据体检结果智能推荐再检项目</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时间</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历次体检数据自动归集、多维度趋势对比（</w:t>
            </w:r>
            <w:r>
              <w:rPr>
                <w:rFonts w:ascii="宋体" w:eastAsia="宋体" w:hAnsi="宋体" w:cs="宋体" w:hint="eastAsia"/>
                <w:color w:val="000000"/>
                <w:kern w:val="0"/>
                <w:sz w:val="22"/>
                <w:lang w:bidi="ar"/>
              </w:rPr>
              <w:t xml:space="preserve">1/3/5 </w:t>
            </w:r>
            <w:r>
              <w:rPr>
                <w:rFonts w:ascii="宋体" w:eastAsia="宋体" w:hAnsi="宋体" w:cs="宋体" w:hint="eastAsia"/>
                <w:color w:val="000000"/>
                <w:kern w:val="0"/>
                <w:sz w:val="22"/>
                <w:lang w:bidi="ar"/>
              </w:rPr>
              <w:t>年）；异常指标跨次追踪、变化原因智能分析；再检项目逾期预警（超推荐时间自动提醒）</w:t>
            </w:r>
          </w:p>
        </w:tc>
        <w:tc>
          <w:tcPr>
            <w:tcW w:w="180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再检建议可关联体检套餐一键预约</w:t>
            </w:r>
          </w:p>
        </w:tc>
      </w:tr>
      <w:tr w:rsidR="007E18F5">
        <w:trPr>
          <w:jc w:val="center"/>
        </w:trPr>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重大阳性档</w:t>
            </w:r>
            <w:r>
              <w:rPr>
                <w:rFonts w:ascii="宋体" w:eastAsia="宋体" w:hAnsi="宋体" w:cs="宋体" w:hint="eastAsia"/>
                <w:color w:val="000000"/>
                <w:kern w:val="0"/>
                <w:sz w:val="22"/>
                <w:lang w:bidi="ar"/>
              </w:rPr>
              <w:lastRenderedPageBreak/>
              <w:t>案管理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自动收集重大阳性客户信</w:t>
            </w:r>
            <w:r>
              <w:rPr>
                <w:rFonts w:ascii="宋体" w:eastAsia="宋体" w:hAnsi="宋体" w:cs="宋体" w:hint="eastAsia"/>
                <w:color w:val="000000"/>
                <w:kern w:val="0"/>
                <w:sz w:val="22"/>
                <w:lang w:bidi="ar"/>
              </w:rPr>
              <w:lastRenderedPageBreak/>
              <w:t>息并标记阳性指标；提供人工随访提示</w:t>
            </w:r>
            <w:r>
              <w:rPr>
                <w:rFonts w:ascii="宋体" w:eastAsia="宋体" w:hAnsi="宋体" w:cs="宋体" w:hint="eastAsia"/>
                <w:color w:val="000000"/>
                <w:kern w:val="0"/>
                <w:sz w:val="22"/>
                <w:lang w:bidi="ar"/>
              </w:rPr>
              <w:t xml:space="preserve"> + AI </w:t>
            </w:r>
            <w:r>
              <w:rPr>
                <w:rFonts w:ascii="宋体" w:eastAsia="宋体" w:hAnsi="宋体" w:cs="宋体" w:hint="eastAsia"/>
                <w:color w:val="000000"/>
                <w:kern w:val="0"/>
                <w:sz w:val="22"/>
                <w:lang w:bidi="ar"/>
              </w:rPr>
              <w:t>智能跟踪随访双重功能</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重大阳性结果实时预警、阳</w:t>
            </w:r>
            <w:r>
              <w:rPr>
                <w:rFonts w:ascii="宋体" w:eastAsia="宋体" w:hAnsi="宋体" w:cs="宋体" w:hint="eastAsia"/>
                <w:color w:val="000000"/>
                <w:kern w:val="0"/>
                <w:sz w:val="22"/>
                <w:lang w:bidi="ar"/>
              </w:rPr>
              <w:lastRenderedPageBreak/>
              <w:t>性指标进展动态监测；对接专病管理队列，实现一站式干预；阳性指标加重预警（复查指标恶化自动触发）</w:t>
            </w:r>
          </w:p>
        </w:tc>
        <w:tc>
          <w:tcPr>
            <w:tcW w:w="180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阳性档案与转</w:t>
            </w:r>
            <w:r>
              <w:rPr>
                <w:rFonts w:ascii="宋体" w:eastAsia="宋体" w:hAnsi="宋体" w:cs="宋体" w:hint="eastAsia"/>
                <w:color w:val="000000"/>
                <w:kern w:val="0"/>
                <w:sz w:val="22"/>
                <w:lang w:bidi="ar"/>
              </w:rPr>
              <w:lastRenderedPageBreak/>
              <w:t>诊系统无缝联动</w:t>
            </w:r>
          </w:p>
        </w:tc>
      </w:tr>
      <w:tr w:rsidR="007E18F5">
        <w:trPr>
          <w:jc w:val="center"/>
        </w:trPr>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临床信息整合</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集成病历、门诊、用药处方信息，支持现病史</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临床表现</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诊断</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治疗</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手术等信息录入、添加、修改；实时同步用药情况，为干预方案提供依据</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用药处方智能审核（药物相互作用提醒）、门诊复诊自动关联体检异常项；用药中断</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逾期预警（未按处方服用自动提醒）</w:t>
            </w:r>
          </w:p>
        </w:tc>
        <w:tc>
          <w:tcPr>
            <w:tcW w:w="180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支持处方在线查看、打印</w:t>
            </w:r>
          </w:p>
        </w:tc>
      </w:tr>
      <w:tr w:rsidR="007E18F5">
        <w:trPr>
          <w:jc w:val="center"/>
        </w:trPr>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会员专属服务档案</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w:t>
            </w:r>
            <w:r>
              <w:rPr>
                <w:rFonts w:ascii="宋体" w:eastAsia="宋体" w:hAnsi="宋体" w:cs="宋体" w:hint="eastAsia"/>
                <w:color w:val="000000"/>
                <w:kern w:val="0"/>
                <w:sz w:val="22"/>
                <w:lang w:bidi="ar"/>
              </w:rPr>
              <w:t xml:space="preserve"> VIP </w:t>
            </w:r>
            <w:r>
              <w:rPr>
                <w:rFonts w:ascii="宋体" w:eastAsia="宋体" w:hAnsi="宋体" w:cs="宋体" w:hint="eastAsia"/>
                <w:color w:val="000000"/>
                <w:kern w:val="0"/>
                <w:sz w:val="22"/>
                <w:lang w:bidi="ar"/>
              </w:rPr>
              <w:t>会员建立专属档案，提供健康档案维护、疾病疗程管理、体检</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门诊预约定制；支持会员卡号绑定、专属专家资源匹配</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会员健康等级定制、专属健康管理师签约、个性化健康服务包定制；会员服务到期预警（套餐</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服务超期自动提醒）</w:t>
            </w:r>
          </w:p>
        </w:tc>
        <w:tc>
          <w:tcPr>
            <w:tcW w:w="180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适配高端健康管理服务需求</w:t>
            </w:r>
          </w:p>
        </w:tc>
      </w:tr>
    </w:tbl>
    <w:tbl>
      <w:tblPr>
        <w:tblpPr w:leftFromText="180" w:rightFromText="180" w:vertAnchor="text" w:horzAnchor="page" w:tblpX="1788" w:tblpY="33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573"/>
        <w:gridCol w:w="2573"/>
        <w:gridCol w:w="1684"/>
      </w:tblGrid>
      <w:tr w:rsidR="007E18F5">
        <w:trPr>
          <w:tblHeader/>
        </w:trPr>
        <w:tc>
          <w:tcPr>
            <w:tcW w:w="169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1684"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c>
          <w:tcPr>
            <w:tcW w:w="169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膳食处方管理</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基于健康风险生成个性化膳食处方</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专家食谱；支持用户按饮食喜好进行食物交换，提供膳食习惯评价指导；医生可自定义膳食处方</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膳食处方与慢病类型精准匹配（如糖尿病</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高血压专属食谱）；支持膳食日记记录、膳食结构智能分析；膳食执行不达标预警（未按处方执行自动提醒）</w:t>
            </w:r>
          </w:p>
        </w:tc>
        <w:tc>
          <w:tcPr>
            <w:tcW w:w="16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处方库包含单一慢病干预方案≥</w:t>
            </w:r>
            <w:r>
              <w:rPr>
                <w:rFonts w:ascii="宋体" w:eastAsia="宋体" w:hAnsi="宋体" w:cs="宋体" w:hint="eastAsia"/>
                <w:color w:val="000000"/>
                <w:kern w:val="0"/>
                <w:sz w:val="22"/>
                <w:lang w:bidi="ar"/>
              </w:rPr>
              <w:t xml:space="preserve">1000 </w:t>
            </w:r>
            <w:r>
              <w:rPr>
                <w:rFonts w:ascii="宋体" w:eastAsia="宋体" w:hAnsi="宋体" w:cs="宋体" w:hint="eastAsia"/>
                <w:color w:val="000000"/>
                <w:kern w:val="0"/>
                <w:sz w:val="22"/>
                <w:lang w:bidi="ar"/>
              </w:rPr>
              <w:t>条，支持并发症混合方案</w:t>
            </w:r>
          </w:p>
        </w:tc>
      </w:tr>
      <w:tr w:rsidR="007E18F5">
        <w:tc>
          <w:tcPr>
            <w:tcW w:w="169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运动处方管理</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结合运动能力评估生成个性化运动处方</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推荐方案；支持用户按运动喜好更换运动方式，记录运动日记并生成分析报告；医生可调整运动项目</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强度</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运动处方适配体能水平（低</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中</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高强度）、支持可穿戴设备运动数据同步；运动能耗实时监测；运动执行不达标</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中断预警（未按处方运动自动提醒）</w:t>
            </w:r>
          </w:p>
        </w:tc>
        <w:tc>
          <w:tcPr>
            <w:tcW w:w="16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支持处方打印、手机端查看</w:t>
            </w:r>
          </w:p>
        </w:tc>
      </w:tr>
      <w:tr w:rsidR="007E18F5">
        <w:tc>
          <w:tcPr>
            <w:tcW w:w="169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营养补充剂处方</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医生可自定义营养补充剂处方，生成处方报告及打卡日历；客户通过手机端打卡服用，医生端可补充过期打卡记录</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营养补充剂与膳食处方联动、过量服用智能提醒；打卡数据自动统计并纳入健康评估；补充剂服用漏打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逾期预警</w:t>
            </w:r>
          </w:p>
        </w:tc>
        <w:tc>
          <w:tcPr>
            <w:tcW w:w="16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适配高端健康管理干预需求</w:t>
            </w:r>
          </w:p>
        </w:tc>
      </w:tr>
      <w:tr w:rsidR="007E18F5">
        <w:tc>
          <w:tcPr>
            <w:tcW w:w="169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慢病干预方案库</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w:t>
            </w:r>
            <w:r>
              <w:rPr>
                <w:rFonts w:ascii="宋体" w:eastAsia="宋体" w:hAnsi="宋体" w:cs="宋体" w:hint="eastAsia"/>
                <w:color w:val="000000"/>
                <w:kern w:val="0"/>
                <w:sz w:val="22"/>
                <w:lang w:bidi="ar"/>
              </w:rPr>
              <w:t xml:space="preserve"> 25 </w:t>
            </w:r>
            <w:r>
              <w:rPr>
                <w:rFonts w:ascii="宋体" w:eastAsia="宋体" w:hAnsi="宋体" w:cs="宋体" w:hint="eastAsia"/>
                <w:color w:val="000000"/>
                <w:kern w:val="0"/>
                <w:sz w:val="22"/>
                <w:lang w:bidi="ar"/>
              </w:rPr>
              <w:t>种慢病管理计划方案库，每种慢病按危险程度分</w:t>
            </w:r>
            <w:r>
              <w:rPr>
                <w:rFonts w:ascii="宋体" w:eastAsia="宋体" w:hAnsi="宋体" w:cs="宋体" w:hint="eastAsia"/>
                <w:color w:val="000000"/>
                <w:kern w:val="0"/>
                <w:sz w:val="22"/>
                <w:lang w:bidi="ar"/>
              </w:rPr>
              <w:t xml:space="preserve"> 3 </w:t>
            </w:r>
            <w:r>
              <w:rPr>
                <w:rFonts w:ascii="宋体" w:eastAsia="宋体" w:hAnsi="宋体" w:cs="宋体" w:hint="eastAsia"/>
                <w:color w:val="000000"/>
                <w:kern w:val="0"/>
                <w:sz w:val="22"/>
                <w:lang w:bidi="ar"/>
              </w:rPr>
              <w:t>个等级，每个等级包含</w:t>
            </w:r>
            <w:r>
              <w:rPr>
                <w:rFonts w:ascii="宋体" w:eastAsia="宋体" w:hAnsi="宋体" w:cs="宋体" w:hint="eastAsia"/>
                <w:color w:val="000000"/>
                <w:kern w:val="0"/>
                <w:sz w:val="22"/>
                <w:lang w:bidi="ar"/>
              </w:rPr>
              <w:t xml:space="preserve"> 1 </w:t>
            </w:r>
            <w:r>
              <w:rPr>
                <w:rFonts w:ascii="宋体" w:eastAsia="宋体" w:hAnsi="宋体" w:cs="宋体" w:hint="eastAsia"/>
                <w:color w:val="000000"/>
                <w:kern w:val="0"/>
                <w:sz w:val="22"/>
                <w:lang w:bidi="ar"/>
              </w:rPr>
              <w:t>年标准化干预方案</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干预方案自动适配风险等级、支持医生个性化修改；方案执行进度实时追踪、效果智能评估；干预方案执行逾期预警（未按节点完成自动提醒）</w:t>
            </w:r>
          </w:p>
        </w:tc>
        <w:tc>
          <w:tcPr>
            <w:tcW w:w="16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方案库支持按疾控最新数据动态更新</w:t>
            </w:r>
          </w:p>
        </w:tc>
      </w:tr>
      <w:tr w:rsidR="007E18F5">
        <w:tc>
          <w:tcPr>
            <w:tcW w:w="169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健康计划自动制定</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支持自定义预设危险因素条件，系统自动制定个性化干预计划</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方案；医生可手动制定干预计划，包含药物、营养等多</w:t>
            </w:r>
            <w:r>
              <w:rPr>
                <w:rFonts w:ascii="宋体" w:eastAsia="宋体" w:hAnsi="宋体" w:cs="宋体" w:hint="eastAsia"/>
                <w:color w:val="000000"/>
                <w:kern w:val="0"/>
                <w:sz w:val="22"/>
                <w:lang w:bidi="ar"/>
              </w:rPr>
              <w:lastRenderedPageBreak/>
              <w:t>维度内容</w:t>
            </w:r>
          </w:p>
        </w:tc>
        <w:tc>
          <w:tcPr>
            <w:tcW w:w="257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健康计划与管理目标联动、计划执行节点智能提醒；多方案对比选择、方案效果量化分析；健康计划未启动</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逾期预警</w:t>
            </w:r>
          </w:p>
        </w:tc>
        <w:tc>
          <w:tcPr>
            <w:tcW w:w="16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计划生成后支持微信自动推送至客户</w:t>
            </w:r>
          </w:p>
        </w:tc>
      </w:tr>
    </w:tbl>
    <w:p w:rsidR="007E18F5" w:rsidRDefault="00992935">
      <w:pPr>
        <w:pStyle w:val="2"/>
        <w:keepNext/>
        <w:keepLines/>
        <w:numPr>
          <w:ilvl w:val="0"/>
          <w:numId w:val="4"/>
        </w:numPr>
        <w:wordWrap w:val="0"/>
        <w:spacing w:line="360" w:lineRule="atLeast"/>
        <w:jc w:val="left"/>
        <w:rPr>
          <w:color w:val="000000"/>
          <w:sz w:val="24"/>
          <w:szCs w:val="24"/>
        </w:rPr>
      </w:pPr>
      <w:r>
        <w:rPr>
          <w:color w:val="000000"/>
          <w:sz w:val="24"/>
          <w:szCs w:val="24"/>
        </w:rPr>
        <w:lastRenderedPageBreak/>
        <w:t>个性化健康干预与处方管理</w:t>
      </w:r>
    </w:p>
    <w:tbl>
      <w:tblPr>
        <w:tblpPr w:leftFromText="180" w:rightFromText="180" w:vertAnchor="text" w:horzAnchor="page" w:tblpX="1788" w:tblpY="338"/>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2572"/>
        <w:gridCol w:w="2572"/>
        <w:gridCol w:w="1513"/>
      </w:tblGrid>
      <w:tr w:rsidR="007E18F5">
        <w:trPr>
          <w:tblHeader/>
        </w:trPr>
        <w:tc>
          <w:tcPr>
            <w:tcW w:w="186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151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c>
          <w:tcPr>
            <w:tcW w:w="186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动态健康指标监测</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支持可穿戴设备</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便携式监测设备实时上传生命体征（血压、血糖、血脂、体重、腰围等）；支持用户手动录入指标数据，云端统一存储</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指标数据异常实时预警、生成动态趋势图表；指标变化与干预方案联动分析；指标监测漏录</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逾期预警（未按时上传</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录入自动提醒）</w:t>
            </w:r>
          </w:p>
        </w:tc>
        <w:tc>
          <w:tcPr>
            <w:tcW w:w="151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兼容主流品牌可穿戴设备（华为、苹果、小米等）</w:t>
            </w:r>
          </w:p>
        </w:tc>
      </w:tr>
      <w:tr w:rsidR="007E18F5">
        <w:tc>
          <w:tcPr>
            <w:tcW w:w="186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健康趋势分析</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对监测指标进行长期趋势分析，自动标注</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“持续正常</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逐步改善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明显加重”</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等状态；结合干预方案评估指标变化原因</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多指标关联分析（如血压与体重、血糖与饮食）；趋势分析结果融入健康评估报告；指标趋势恶化预警（连续监测指标下滑自动触发）</w:t>
            </w:r>
          </w:p>
        </w:tc>
        <w:tc>
          <w:tcPr>
            <w:tcW w:w="151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支持趋势图导出、打印</w:t>
            </w:r>
          </w:p>
        </w:tc>
      </w:tr>
      <w:tr w:rsidR="007E18F5">
        <w:tc>
          <w:tcPr>
            <w:tcW w:w="186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自动化健康信息推送</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向客户推送个性化健康教育、健康状况告知、复诊指导、养生知识；推送渠道支持微信、短信、邮件。推送内容支持图文、视频、问卷等多种形式，推送内容的生成来源文献，文献引用优先顺序基于循证证据等级。</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推送内容智能适配（按慢病类型</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风险等级定制）、推送时间按需设置；支持一键暂停</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恢复推送；推送未读提醒（重要信息客</w:t>
            </w:r>
            <w:r>
              <w:rPr>
                <w:rFonts w:ascii="宋体" w:eastAsia="宋体" w:hAnsi="宋体" w:cs="宋体" w:hint="eastAsia"/>
                <w:color w:val="000000"/>
                <w:kern w:val="0"/>
                <w:sz w:val="22"/>
                <w:lang w:bidi="ar"/>
              </w:rPr>
              <w:t>户未查看自动二次推送）</w:t>
            </w:r>
          </w:p>
        </w:tc>
        <w:tc>
          <w:tcPr>
            <w:tcW w:w="151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推送记录全程留存，支持统计分析</w:t>
            </w:r>
          </w:p>
        </w:tc>
      </w:tr>
      <w:tr w:rsidR="007E18F5">
        <w:tc>
          <w:tcPr>
            <w:tcW w:w="186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全维度干预执行预警</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整合膳食、运动、用药、补充剂、监测等所有干预环节，设置统一预警规则</w:t>
            </w:r>
          </w:p>
        </w:tc>
        <w:tc>
          <w:tcPr>
            <w:tcW w:w="2572"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支持预警阈值自定义、预警方式（系统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微信</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短信）可选；预警记录全程留存、支持批量处理；多重逾期叠加预警（多项干预未执行升级提醒）</w:t>
            </w:r>
          </w:p>
        </w:tc>
        <w:tc>
          <w:tcPr>
            <w:tcW w:w="151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核心新增预警功能，覆盖干预全流程</w:t>
            </w:r>
          </w:p>
        </w:tc>
      </w:tr>
    </w:tbl>
    <w:p w:rsidR="007E18F5" w:rsidRDefault="00992935">
      <w:pPr>
        <w:pStyle w:val="2"/>
        <w:keepNext/>
        <w:keepLines/>
        <w:numPr>
          <w:ilvl w:val="0"/>
          <w:numId w:val="4"/>
        </w:numPr>
        <w:wordWrap w:val="0"/>
        <w:spacing w:line="360" w:lineRule="atLeast"/>
        <w:jc w:val="left"/>
        <w:rPr>
          <w:color w:val="000000"/>
          <w:sz w:val="24"/>
          <w:szCs w:val="24"/>
        </w:rPr>
      </w:pPr>
      <w:r>
        <w:rPr>
          <w:color w:val="000000"/>
          <w:sz w:val="24"/>
          <w:szCs w:val="24"/>
        </w:rPr>
        <w:t>健康监测与智能预警</w:t>
      </w:r>
    </w:p>
    <w:tbl>
      <w:tblPr>
        <w:tblpPr w:leftFromText="180" w:rightFromText="180" w:vertAnchor="text" w:horzAnchor="page" w:tblpX="1788" w:tblpY="338"/>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965"/>
        <w:gridCol w:w="1920"/>
        <w:gridCol w:w="1470"/>
        <w:gridCol w:w="1774"/>
      </w:tblGrid>
      <w:tr w:rsidR="007E18F5">
        <w:trPr>
          <w:tblHeader/>
        </w:trPr>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健康风险自动分组</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按异常指标、疾病现患、疾病高危、一般人群自动分类；由体检异常</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风险评估结果自动筛选现患</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高危人群</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分组标签可自定义、支持人群精准筛选；高危人群自动纳入重点随访队列</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分组人群漏随访预警（未按规则纳入随访自动提醒）</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分组结果同步至私域客户标签，实现精准化沟通</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个性化随访计划</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按人群分组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慢病类型</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客户等级制定标准化随访计划；支持医生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健康管理师自定义随访频率、内</w:t>
            </w:r>
            <w:r>
              <w:rPr>
                <w:rFonts w:ascii="宋体" w:eastAsia="宋体" w:hAnsi="宋体" w:cs="宋体" w:hint="eastAsia"/>
                <w:color w:val="000000"/>
                <w:kern w:val="0"/>
                <w:sz w:val="22"/>
                <w:lang w:bidi="ar"/>
              </w:rPr>
              <w:lastRenderedPageBreak/>
              <w:t>容、方式、对接人</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随访计划与风险等级</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客户标签联动；高风险</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高端客户缩短随访间隔；随访任务自动分配至对应</w:t>
            </w:r>
            <w:r>
              <w:rPr>
                <w:rFonts w:ascii="宋体" w:eastAsia="宋体" w:hAnsi="宋体" w:cs="宋体" w:hint="eastAsia"/>
                <w:color w:val="000000"/>
                <w:kern w:val="0"/>
                <w:sz w:val="22"/>
                <w:lang w:bidi="ar"/>
              </w:rPr>
              <w:lastRenderedPageBreak/>
              <w:t>私域运营人员</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随访计划未制定预警（高危</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高端客户超</w:t>
            </w:r>
            <w:r>
              <w:rPr>
                <w:rFonts w:ascii="宋体" w:eastAsia="宋体" w:hAnsi="宋体" w:cs="宋体" w:hint="eastAsia"/>
                <w:color w:val="000000"/>
                <w:kern w:val="0"/>
                <w:sz w:val="22"/>
                <w:lang w:bidi="ar"/>
              </w:rPr>
              <w:t xml:space="preserve"> 24 </w:t>
            </w:r>
            <w:r>
              <w:rPr>
                <w:rFonts w:ascii="宋体" w:eastAsia="宋体" w:hAnsi="宋体" w:cs="宋体" w:hint="eastAsia"/>
                <w:color w:val="000000"/>
                <w:kern w:val="0"/>
                <w:sz w:val="22"/>
                <w:lang w:bidi="ar"/>
              </w:rPr>
              <w:t>小时未建计划自动触发）</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随访方式含线下接待、私域沟通、电话等，计划关联客户接待流程</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私域沟通管理体系</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集成企业微信</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公众号</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小程序私域端口，实现检后随访全流程私域触达</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私域客户一键建档、标签化管理（按风险</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套餐</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年龄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慢病类型）；支持私域消息模板自定义、批量发送；沟通记录自动同步至客户档案</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私域消息未回复预警（客户咨询超</w:t>
            </w:r>
            <w:r>
              <w:rPr>
                <w:rFonts w:ascii="宋体" w:eastAsia="宋体" w:hAnsi="宋体" w:cs="宋体" w:hint="eastAsia"/>
                <w:color w:val="000000"/>
                <w:kern w:val="0"/>
                <w:sz w:val="22"/>
                <w:lang w:bidi="ar"/>
              </w:rPr>
              <w:t xml:space="preserve"> 30 </w:t>
            </w:r>
            <w:r>
              <w:rPr>
                <w:rFonts w:ascii="宋体" w:eastAsia="宋体" w:hAnsi="宋体" w:cs="宋体" w:hint="eastAsia"/>
                <w:color w:val="000000"/>
                <w:kern w:val="0"/>
                <w:sz w:val="22"/>
                <w:lang w:bidi="ar"/>
              </w:rPr>
              <w:t>分钟未回复自动提醒）</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核心新增功能，实现私域随访与客户管理一体化</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团体客户接待全线流程沟通</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搭建团检客户专属随访沟通体系，覆盖团检报告解读、团体健康讲座、集体干预、年度健康复盘全流程</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团检客户按单位</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部门分级管理；专属团体沟通群搭建、团体健康数据汇总推送；团体线下接待预约、流程定制、物料自动生成</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团体随访逾期预警、团体讲座报名人数不足预警</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新增核心功能，含团体接待预约、现场沟通、后续跟进全流程记录</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个人客户接待全线流程打造</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建立个人客户（含高端</w:t>
            </w:r>
            <w:r>
              <w:rPr>
                <w:rFonts w:ascii="宋体" w:eastAsia="宋体" w:hAnsi="宋体" w:cs="宋体" w:hint="eastAsia"/>
                <w:color w:val="000000"/>
                <w:kern w:val="0"/>
                <w:sz w:val="22"/>
                <w:lang w:bidi="ar"/>
              </w:rPr>
              <w:t xml:space="preserve"> VIP</w:t>
            </w:r>
            <w:r>
              <w:rPr>
                <w:rFonts w:ascii="宋体" w:eastAsia="宋体" w:hAnsi="宋体" w:cs="宋体" w:hint="eastAsia"/>
                <w:color w:val="000000"/>
                <w:kern w:val="0"/>
                <w:sz w:val="22"/>
                <w:lang w:bidi="ar"/>
              </w:rPr>
              <w:t>）检后线下接待标准化流程，覆盖报告解读、一对一咨询、干预方案讲解、复诊预约全环节</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线下接待一键预约、时段管控、接待人员分配；接待话术模板化（按风险</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慢病类型定制）；接待过程记录、客户反馈实时录入</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个人接待预约逾期预警、接待未完成记录预警</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新增核心功能，线下接待数据与私域随访、健康档案无缝联动</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随访时间全节点预警</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覆盖随访计划制定、随访执行、随访结果录入、私域沟通触达全节点时间管控</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「随访到期预警」「随访逾期预警」「随访结果录入预警」「私域沟通未触达预警」；预警分级（一般</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重要</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紧急）</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随访到期预警、逾期预警、结果录入预警、私域触达未完成预警</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核心预警功能，杜绝随访漏项、逾期，覆盖线上线下全随访场景</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随访任务全流程跟踪</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系统自动记录随访</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接待</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私域沟通任务进度，支持状态更新（未开始</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进行中</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已完成</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逾期）；支持任务转交、协作处理</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任务进度可视化工作台（分个人</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团体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私域）；医护</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私域运营人员任务量统计、工作效率分析；接待</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沟通物料一键调取</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任务分配逾期预警、任务堆积预警（单人工单量超阈值自动提醒管理员）</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任务记录全程留痕，支持审计追溯，关联绩效统计</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客户反馈与满意度管理</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支持个人</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团体客户随访、接待、私域沟通后满意度评价；支持负面反馈一键上报、专人跟进、闭环处理</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满意度评分可视化统计、低分反馈根因分析；负面反馈自动触发升级处理（对接科室主任</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管理员）</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负面反馈未处理预警、满意度连续偏低预警</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评价结果纳入医护</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私域运营人员绩效考核</w:t>
            </w:r>
          </w:p>
        </w:tc>
      </w:tr>
      <w:tr w:rsidR="007E18F5">
        <w:tc>
          <w:tcPr>
            <w:tcW w:w="139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在线咨询与</w:t>
            </w:r>
            <w:r>
              <w:rPr>
                <w:rFonts w:ascii="宋体" w:eastAsia="宋体" w:hAnsi="宋体" w:cs="宋体" w:hint="eastAsia"/>
                <w:color w:val="000000"/>
                <w:kern w:val="0"/>
                <w:sz w:val="22"/>
                <w:lang w:bidi="ar"/>
              </w:rPr>
              <w:lastRenderedPageBreak/>
              <w:t>专属签约</w:t>
            </w:r>
          </w:p>
        </w:tc>
        <w:tc>
          <w:tcPr>
            <w:tcW w:w="196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健康管理师</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医</w:t>
            </w:r>
            <w:r>
              <w:rPr>
                <w:rFonts w:ascii="宋体" w:eastAsia="宋体" w:hAnsi="宋体" w:cs="宋体" w:hint="eastAsia"/>
                <w:color w:val="000000"/>
                <w:kern w:val="0"/>
                <w:sz w:val="22"/>
                <w:lang w:bidi="ar"/>
              </w:rPr>
              <w:lastRenderedPageBreak/>
              <w:t>生在私域端在线实时解答客户咨询；支持客户绑定专属健康管理师</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医生，实现一对一私域健康管理</w:t>
            </w:r>
          </w:p>
        </w:tc>
        <w:tc>
          <w:tcPr>
            <w:tcW w:w="192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咨询记录全程留</w:t>
            </w:r>
            <w:r>
              <w:rPr>
                <w:rFonts w:ascii="宋体" w:eastAsia="宋体" w:hAnsi="宋体" w:cs="宋体" w:hint="eastAsia"/>
                <w:color w:val="000000"/>
                <w:kern w:val="0"/>
                <w:sz w:val="22"/>
                <w:lang w:bidi="ar"/>
              </w:rPr>
              <w:lastRenderedPageBreak/>
              <w:t>存、常见问题智能回复；支持图文</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语音</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视频咨询；专属签约服务包私域端一键购买</w:t>
            </w:r>
          </w:p>
        </w:tc>
        <w:tc>
          <w:tcPr>
            <w:tcW w:w="147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咨询未回复</w:t>
            </w:r>
            <w:r>
              <w:rPr>
                <w:rFonts w:ascii="宋体" w:eastAsia="宋体" w:hAnsi="宋体" w:cs="宋体" w:hint="eastAsia"/>
                <w:color w:val="000000"/>
                <w:kern w:val="0"/>
                <w:sz w:val="22"/>
                <w:lang w:bidi="ar"/>
              </w:rPr>
              <w:lastRenderedPageBreak/>
              <w:t>预警、专属服务包到期预警</w:t>
            </w:r>
          </w:p>
        </w:tc>
        <w:tc>
          <w:tcPr>
            <w:tcW w:w="177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适配互联网</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lastRenderedPageBreak/>
              <w:t>健康管理服务需求，私域咨询数据纳入随访统计</w:t>
            </w:r>
          </w:p>
        </w:tc>
      </w:tr>
    </w:tbl>
    <w:p w:rsidR="007E18F5" w:rsidRDefault="00992935">
      <w:pPr>
        <w:pStyle w:val="2"/>
        <w:keepNext/>
        <w:keepLines/>
        <w:numPr>
          <w:ilvl w:val="0"/>
          <w:numId w:val="4"/>
        </w:numPr>
        <w:wordWrap w:val="0"/>
        <w:spacing w:line="360" w:lineRule="atLeast"/>
        <w:jc w:val="left"/>
        <w:rPr>
          <w:color w:val="000000"/>
          <w:sz w:val="24"/>
          <w:szCs w:val="24"/>
        </w:rPr>
      </w:pPr>
      <w:r>
        <w:rPr>
          <w:color w:val="000000"/>
          <w:sz w:val="24"/>
          <w:szCs w:val="24"/>
        </w:rPr>
        <w:lastRenderedPageBreak/>
        <w:t>全场景随访管理（含私域沟通与客户接待）</w:t>
      </w:r>
    </w:p>
    <w:tbl>
      <w:tblPr>
        <w:tblpPr w:leftFromText="180" w:rightFromText="180" w:vertAnchor="text" w:horzAnchor="page" w:tblpX="1738" w:tblpY="273"/>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2011"/>
        <w:gridCol w:w="2011"/>
        <w:gridCol w:w="2011"/>
        <w:gridCol w:w="1090"/>
      </w:tblGrid>
      <w:tr w:rsidR="007E18F5">
        <w:trPr>
          <w:tblHeader/>
        </w:trPr>
        <w:tc>
          <w:tcPr>
            <w:tcW w:w="1399"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090"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c>
          <w:tcPr>
            <w:tcW w:w="1399"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多维数据可视化看板</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统计体检量、慢病管理覆盖率、随访完成率、高危干预率、私域触达率、客户满意度等核心指标；支持按时间、院区、人群、岗位维度筛选</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看板实时更新、支持多图表展示；指标异常自动预警、生成分析报告；私域运营数据与临床数据联动分析</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核心指标不达标预警（如随访完成率</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私域触达率低于阈值自动触发）</w:t>
            </w:r>
          </w:p>
        </w:tc>
        <w:tc>
          <w:tcPr>
            <w:tcW w:w="109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适配院级</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科室级</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私域运营层管理决策</w:t>
            </w:r>
          </w:p>
        </w:tc>
      </w:tr>
      <w:tr w:rsidR="007E18F5">
        <w:tc>
          <w:tcPr>
            <w:tcW w:w="1399"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成本效益评估</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统计慢病干预成本与并发症减少数据，量化健康服务投入产出比；分析不同干预方案、私域服务的效果与成本对比</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投入产出比动态计算、干预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私域服务方案效果排名；为健康管理服务、私域套餐定价提供数据支撑</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干预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私域服务成本超支预警（单例</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群体成本超预算自动提醒）</w:t>
            </w:r>
          </w:p>
        </w:tc>
        <w:tc>
          <w:tcPr>
            <w:tcW w:w="109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适配科研与运营双重需求</w:t>
            </w:r>
          </w:p>
        </w:tc>
      </w:tr>
      <w:tr w:rsidR="007E18F5">
        <w:tc>
          <w:tcPr>
            <w:tcW w:w="1399"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历史数据对比分析</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 xml:space="preserve">5 </w:t>
            </w:r>
            <w:r>
              <w:rPr>
                <w:rFonts w:ascii="宋体" w:eastAsia="宋体" w:hAnsi="宋体" w:cs="宋体" w:hint="eastAsia"/>
                <w:color w:val="000000"/>
                <w:kern w:val="0"/>
                <w:sz w:val="22"/>
                <w:lang w:bidi="ar"/>
              </w:rPr>
              <w:t>年体检</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随访</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干预</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私域运营数据趋势对比；分析慢病管理效果、人群健康状况、客户服务质量变化趋势</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跨年度数据智能整合、变化趋势原因分析；支持区域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团体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私域客户群体健康状况对比</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人群健康趋势恶化预警、私域运营效率下滑预警</w:t>
            </w:r>
          </w:p>
        </w:tc>
        <w:tc>
          <w:tcPr>
            <w:tcW w:w="109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为公共卫生决策、私域运营优化提供科学依据</w:t>
            </w:r>
          </w:p>
        </w:tc>
      </w:tr>
      <w:tr w:rsidR="007E18F5">
        <w:tc>
          <w:tcPr>
            <w:tcW w:w="1399"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客户管理统计</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支持个人</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单位</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私域客户数据统计，汇总体检信息、风险评估、慢性病患病情况、私域触达记录、接待记录；支持数据</w:t>
            </w:r>
            <w:r>
              <w:rPr>
                <w:rFonts w:ascii="宋体" w:eastAsia="宋体" w:hAnsi="宋体" w:cs="宋体" w:hint="eastAsia"/>
                <w:color w:val="000000"/>
                <w:kern w:val="0"/>
                <w:sz w:val="22"/>
                <w:lang w:bidi="ar"/>
              </w:rPr>
              <w:t xml:space="preserve"> Excel </w:t>
            </w:r>
            <w:r>
              <w:rPr>
                <w:rFonts w:ascii="宋体" w:eastAsia="宋体" w:hAnsi="宋体" w:cs="宋体" w:hint="eastAsia"/>
                <w:color w:val="000000"/>
                <w:kern w:val="0"/>
                <w:sz w:val="22"/>
                <w:lang w:bidi="ar"/>
              </w:rPr>
              <w:t>导出</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单位客户健康报告自动汇总、团体健康风险分析；私域客户活跃度、留存率统计；客户流失率分析</w:t>
            </w:r>
          </w:p>
        </w:tc>
        <w:tc>
          <w:tcPr>
            <w:tcW w:w="2011"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单位客户体检逾期预警、私域客户低活跃度预警</w:t>
            </w:r>
          </w:p>
        </w:tc>
        <w:tc>
          <w:tcPr>
            <w:tcW w:w="109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适配团检</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个检</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私域客户精细化管理</w:t>
            </w:r>
          </w:p>
        </w:tc>
      </w:tr>
    </w:tbl>
    <w:p w:rsidR="007E18F5" w:rsidRDefault="00992935">
      <w:pPr>
        <w:pStyle w:val="2"/>
        <w:keepNext/>
        <w:keepLines/>
        <w:numPr>
          <w:ilvl w:val="0"/>
          <w:numId w:val="4"/>
        </w:numPr>
        <w:wordWrap w:val="0"/>
        <w:spacing w:line="360" w:lineRule="atLeast"/>
        <w:jc w:val="left"/>
        <w:rPr>
          <w:color w:val="000000"/>
          <w:sz w:val="24"/>
          <w:szCs w:val="24"/>
        </w:rPr>
      </w:pPr>
      <w:r>
        <w:rPr>
          <w:color w:val="000000"/>
          <w:sz w:val="24"/>
          <w:szCs w:val="24"/>
        </w:rPr>
        <w:lastRenderedPageBreak/>
        <w:t>绩效分析与决策支持</w:t>
      </w:r>
    </w:p>
    <w:p w:rsidR="007E18F5" w:rsidRDefault="00992935">
      <w:pPr>
        <w:pStyle w:val="2"/>
        <w:keepNext/>
        <w:keepLines/>
        <w:numPr>
          <w:ilvl w:val="0"/>
          <w:numId w:val="4"/>
        </w:numPr>
        <w:wordWrap w:val="0"/>
        <w:spacing w:line="360" w:lineRule="atLeast"/>
        <w:jc w:val="left"/>
        <w:rPr>
          <w:color w:val="000000"/>
          <w:sz w:val="24"/>
          <w:szCs w:val="24"/>
        </w:rPr>
      </w:pPr>
      <w:r>
        <w:rPr>
          <w:color w:val="000000"/>
          <w:sz w:val="24"/>
          <w:szCs w:val="24"/>
        </w:rPr>
        <w:t>系统管理与配置</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250"/>
        <w:gridCol w:w="2250"/>
        <w:gridCol w:w="1423"/>
        <w:gridCol w:w="1258"/>
      </w:tblGrid>
      <w:tr w:rsidR="007E18F5">
        <w:trPr>
          <w:tblHeade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199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753"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精细化权限管理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支持管理员</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医生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健康管理师</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护士</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接待专员等多角色权限分配，实现数据访问、功能操作隔离；支持账号停用</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启用、权限动态调整、多级授权</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基于最小权限原则配置；私域运营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接待专员仅查看对应客户数据；操作行为全程审计</w:t>
            </w:r>
          </w:p>
        </w:tc>
        <w:tc>
          <w:tcPr>
            <w:tcW w:w="199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账号异常登录预警（异地</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非常规时间登录自动提醒管理员）</w:t>
            </w:r>
          </w:p>
        </w:tc>
        <w:tc>
          <w:tcPr>
            <w:tcW w:w="175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支持医生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运营账户锁定、密码重置</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自定义配置功能</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支持报告模板、体检项字典、干预字典、私域消息模板、接待话术模板自定义设置；可自行制定干预套餐、健康管理套餐、私域服务套餐内容及费用</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配置项一键保存</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复用、支持院区</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私域运营个性化配置；配置变更记录全程留存</w:t>
            </w:r>
          </w:p>
        </w:tc>
        <w:tc>
          <w:tcPr>
            <w:tcW w:w="199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配置变更未生效预警（修改后未同步全系统自动提醒）</w:t>
            </w:r>
          </w:p>
        </w:tc>
        <w:tc>
          <w:tcPr>
            <w:tcW w:w="175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适配不同院区</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科室</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私域运营的个性化需求</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方案库管理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内置医学共享健康知识库，支持医院专家修改维护；运动</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膳食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中医处方库、健康方案库、私域科普知识库、接待话术库支持新增</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修改</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删除</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知识库智能检索、按疾病类型</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客户群体分类；方案库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话术库支持版本管理、最新临床指南</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运营需求同步更新</w:t>
            </w:r>
          </w:p>
        </w:tc>
        <w:tc>
          <w:tcPr>
            <w:tcW w:w="199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方案库未更新预警（超</w:t>
            </w:r>
            <w:r>
              <w:rPr>
                <w:rFonts w:ascii="宋体" w:eastAsia="宋体" w:hAnsi="宋体" w:cs="宋体" w:hint="eastAsia"/>
                <w:color w:val="000000"/>
                <w:kern w:val="0"/>
                <w:sz w:val="22"/>
                <w:lang w:bidi="ar"/>
              </w:rPr>
              <w:t xml:space="preserve"> 6 </w:t>
            </w:r>
            <w:r>
              <w:rPr>
                <w:rFonts w:ascii="宋体" w:eastAsia="宋体" w:hAnsi="宋体" w:cs="宋体" w:hint="eastAsia"/>
                <w:color w:val="000000"/>
                <w:kern w:val="0"/>
                <w:sz w:val="22"/>
                <w:lang w:bidi="ar"/>
              </w:rPr>
              <w:t>个月未更新自动提醒）</w:t>
            </w:r>
          </w:p>
        </w:tc>
        <w:tc>
          <w:tcPr>
            <w:tcW w:w="175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包含病症诊断、指标预警、私域科普、接待话术等多类数据库</w:t>
            </w:r>
          </w:p>
        </w:tc>
      </w:tr>
      <w:tr w:rsidR="007E18F5">
        <w:trPr>
          <w:jc w:val="center"/>
        </w:trPr>
        <w:tc>
          <w:tcPr>
            <w:tcW w:w="187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数据接口管理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支持医生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管理员自行设置接口项目、配置信息；系统预留标准化接口，对接体检、</w:t>
            </w:r>
            <w:r>
              <w:rPr>
                <w:rFonts w:ascii="宋体" w:eastAsia="宋体" w:hAnsi="宋体" w:cs="宋体" w:hint="eastAsia"/>
                <w:color w:val="000000"/>
                <w:kern w:val="0"/>
                <w:sz w:val="22"/>
                <w:lang w:bidi="ar"/>
              </w:rPr>
              <w:t>HIS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LIS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PACS</w:t>
            </w:r>
            <w:r>
              <w:rPr>
                <w:rFonts w:ascii="宋体" w:eastAsia="宋体" w:hAnsi="宋体" w:cs="宋体" w:hint="eastAsia"/>
                <w:color w:val="000000"/>
                <w:kern w:val="0"/>
                <w:sz w:val="22"/>
                <w:lang w:bidi="ar"/>
              </w:rPr>
              <w:t>、企业微信</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公众号等系统</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接口数据自动同步、数据传输加密；支持接口状态监控、异常报警；私域数据与临床数据双向互通</w:t>
            </w:r>
          </w:p>
        </w:tc>
        <w:tc>
          <w:tcPr>
            <w:tcW w:w="199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接口中断</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数据同步失败预警（接口异常立即触发多渠道提醒）</w:t>
            </w:r>
          </w:p>
        </w:tc>
        <w:tc>
          <w:tcPr>
            <w:tcW w:w="1753"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实现跨系统、跨平台数据互通、无缝衔接</w:t>
            </w:r>
          </w:p>
        </w:tc>
      </w:tr>
    </w:tbl>
    <w:p w:rsidR="007E18F5" w:rsidRDefault="00992935">
      <w:pPr>
        <w:pStyle w:val="2"/>
        <w:keepNext/>
        <w:keepLines/>
        <w:numPr>
          <w:ilvl w:val="0"/>
          <w:numId w:val="3"/>
        </w:numPr>
        <w:wordWrap w:val="0"/>
        <w:spacing w:line="360" w:lineRule="atLeast"/>
        <w:jc w:val="left"/>
        <w:rPr>
          <w:color w:val="000000"/>
          <w:sz w:val="28"/>
          <w:szCs w:val="28"/>
        </w:rPr>
      </w:pPr>
      <w:r>
        <w:rPr>
          <w:color w:val="000000"/>
          <w:sz w:val="28"/>
          <w:szCs w:val="28"/>
        </w:rPr>
        <w:t>队列研究管理系统（科研专项模块）</w:t>
      </w:r>
    </w:p>
    <w:tbl>
      <w:tblPr>
        <w:tblW w:w="-26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3"/>
        <w:gridCol w:w="1933"/>
        <w:gridCol w:w="2036"/>
        <w:gridCol w:w="1933"/>
        <w:gridCol w:w="1301"/>
      </w:tblGrid>
      <w:tr w:rsidR="007E18F5">
        <w:trPr>
          <w:tblHeade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基线问卷全生命周期管理</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支持问卷模板创建、版本控制、填写状态追踪；前台分页填写、拍照上传、手写签名，后台统计导出</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问卷逻辑校验、漏项提醒；问卷数据与体检</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健康档案联动；支持多维度统计分析</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问卷填写逾期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漏项预警、问卷回收率过低预警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导出格式支持</w:t>
            </w:r>
            <w:r>
              <w:rPr>
                <w:rFonts w:ascii="宋体" w:eastAsia="宋体" w:hAnsi="宋体" w:cs="宋体" w:hint="eastAsia"/>
                <w:color w:val="000000"/>
                <w:kern w:val="0"/>
                <w:sz w:val="22"/>
                <w:lang w:bidi="ar"/>
              </w:rPr>
              <w:t xml:space="preserve"> Excel/PDF</w:t>
            </w:r>
            <w:r>
              <w:rPr>
                <w:rFonts w:ascii="宋体" w:eastAsia="宋体" w:hAnsi="宋体" w:cs="宋体" w:hint="eastAsia"/>
                <w:color w:val="000000"/>
                <w:kern w:val="0"/>
                <w:sz w:val="22"/>
                <w:lang w:bidi="ar"/>
              </w:rPr>
              <w:t>，权限分级控制</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知情同意书管理</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支持知情同意书手写签名、签名图片上传、签名验证、签名时间记录；签名文件</w:t>
            </w:r>
            <w:r>
              <w:rPr>
                <w:rFonts w:ascii="宋体" w:eastAsia="宋体" w:hAnsi="宋体" w:cs="宋体" w:hint="eastAsia"/>
                <w:color w:val="000000"/>
                <w:kern w:val="0"/>
                <w:sz w:val="22"/>
                <w:lang w:bidi="ar"/>
              </w:rPr>
              <w:lastRenderedPageBreak/>
              <w:t>与客户档案绑定</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签名文件加密存储、防篡改；支持电子签章对接、远程签名确认</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知情同意书未签署</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过期预警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符合科研伦理要求，全程可追溯</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团体</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个人身份核查</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实时红绿灯提示身份信息准确性；采用智能比对算法，核查结果全程记录</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身份信息与公安</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医院系统对接验证；团体客户批量核查、核查报告自动生成</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身份核查未通过</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避免身份信息错误，保证研究数据准确性</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样本类型与数量管理</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后台可自定义设置样本类型、数量；实时统计标本留取率，对低留取率自动预警</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样本类型与研究项目联动、留取率趋势分析；支持样本留取提醒、原因统计</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标本留取逾期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低留取率预警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留取率数据纳入科研绩效分析</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生物标本条码管理</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支持条码生成、打印、签收登记；实验室签收记录全程留存，包含签收人、时间、状态</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条码唯一标识、扫码快速查询；标本流转全程追踪、扫码记录自动上传</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条码打印异常</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标本签收逾期预警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兼容主流条码打印机，支持条码模板自定义</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生物库标本处理管理</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支持标本分管处理、封装入库、冻存状态监控；处理流程按标准配置，结果全程记录</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标本处理环境数据实时监测（温度</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湿度）、异常预警；处理人员权限管控</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标本处理逾期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环境异常预警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符合生物样本库管理规范</w:t>
            </w:r>
          </w:p>
        </w:tc>
      </w:tr>
      <w:tr w:rsidR="007E18F5">
        <w:trPr>
          <w:jc w:val="center"/>
        </w:trPr>
        <w:tc>
          <w:tcPr>
            <w:tcW w:w="0" w:type="auto"/>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样本全生命周期溯源</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支持样本从采集、处理、入库、使用到销毁的全流程溯源查询；溯源信息包含所有操作记录</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溯源信息可视化展示、一键导出；样本使用量统计、剩余量预警</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样本库存不足</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过期预警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为科研项目提供可靠的样本数据支撑</w:t>
            </w:r>
          </w:p>
        </w:tc>
      </w:tr>
      <w:tr w:rsidR="007E18F5">
        <w:trPr>
          <w:jc w:val="center"/>
        </w:trPr>
        <w:tc>
          <w:tcPr>
            <w:tcW w:w="1904"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科研任务全流程时间预警</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覆盖问卷填写、标本采集、处理、入库全科研任务时间管控</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支持各节点时间阈值自定义、预警分级；预警记录纳入科研绩效</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科研任务逾期叠加预警、科研进度滞后预警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核心预警功能，保障科研项目进度</w:t>
            </w:r>
          </w:p>
        </w:tc>
      </w:tr>
      <w:tr w:rsidR="007E18F5">
        <w:trPr>
          <w:jc w:val="center"/>
        </w:trPr>
        <w:tc>
          <w:tcPr>
            <w:tcW w:w="1904"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科研数据结果的全部导出</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数据可一键全部或者筛选部分导出，并生成每部分数据的统计结果与分析和整体随访数据的统计结果与分析</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支持依据数据需求全部或者筛选导出；对数据结果有部分或者全部文字、图表总结与分析；数据确实或者不完整自动预警；支持数据手动调整</w:t>
            </w:r>
          </w:p>
        </w:tc>
        <w:tc>
          <w:tcPr>
            <w:tcW w:w="3216"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数据不完整预警、结果重复相似程度超</w:t>
            </w:r>
            <w:r>
              <w:rPr>
                <w:rFonts w:ascii="宋体" w:eastAsia="宋体" w:hAnsi="宋体" w:cs="宋体" w:hint="eastAsia"/>
                <w:color w:val="000000"/>
                <w:kern w:val="0"/>
                <w:sz w:val="22"/>
                <w:lang w:bidi="ar"/>
              </w:rPr>
              <w:t>70%</w:t>
            </w:r>
            <w:r>
              <w:rPr>
                <w:rFonts w:ascii="宋体" w:eastAsia="宋体" w:hAnsi="宋体" w:cs="宋体" w:hint="eastAsia"/>
                <w:color w:val="000000"/>
                <w:kern w:val="0"/>
                <w:sz w:val="22"/>
                <w:lang w:bidi="ar"/>
              </w:rPr>
              <w:t>预警、结果确实预警</w:t>
            </w:r>
          </w:p>
        </w:tc>
        <w:tc>
          <w:tcPr>
            <w:tcW w:w="2030" w:type="dxa"/>
            <w:tcBorders>
              <w:tl2br w:val="nil"/>
              <w:tr2bl w:val="nil"/>
            </w:tcBorders>
            <w:shd w:val="clear" w:color="auto" w:fill="auto"/>
            <w:tcMar>
              <w:top w:w="-1" w:type="dxa"/>
              <w:left w:w="-1" w:type="dxa"/>
              <w:bottom w:w="-1" w:type="dxa"/>
              <w:right w:w="-1" w:type="dxa"/>
            </w:tcMar>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数据真实、完整、可靠，为科研提供原始依据</w:t>
            </w:r>
          </w:p>
        </w:tc>
      </w:tr>
    </w:tbl>
    <w:p w:rsidR="007E18F5" w:rsidRDefault="00992935">
      <w:pPr>
        <w:pStyle w:val="2"/>
        <w:keepNext/>
        <w:keepLines/>
        <w:numPr>
          <w:ilvl w:val="0"/>
          <w:numId w:val="3"/>
        </w:numPr>
        <w:wordWrap w:val="0"/>
        <w:spacing w:line="360" w:lineRule="atLeast"/>
        <w:jc w:val="left"/>
        <w:rPr>
          <w:color w:val="000000"/>
          <w:sz w:val="28"/>
          <w:szCs w:val="28"/>
        </w:rPr>
      </w:pPr>
      <w:r>
        <w:rPr>
          <w:color w:val="000000"/>
          <w:sz w:val="28"/>
          <w:szCs w:val="28"/>
        </w:rPr>
        <w:t>检后质控管理系统（质量保障模块）</w:t>
      </w:r>
    </w:p>
    <w:p w:rsidR="007E18F5" w:rsidRDefault="00992935">
      <w:pPr>
        <w:pStyle w:val="2"/>
        <w:keepNext/>
        <w:keepLines/>
        <w:numPr>
          <w:ilvl w:val="0"/>
          <w:numId w:val="5"/>
        </w:numPr>
        <w:wordWrap w:val="0"/>
        <w:spacing w:line="360" w:lineRule="atLeast"/>
        <w:jc w:val="left"/>
        <w:rPr>
          <w:color w:val="000000"/>
          <w:sz w:val="24"/>
          <w:szCs w:val="24"/>
        </w:rPr>
      </w:pPr>
      <w:r>
        <w:rPr>
          <w:color w:val="000000"/>
          <w:sz w:val="24"/>
          <w:szCs w:val="24"/>
        </w:rPr>
        <w:t>质控流程全周期管理</w:t>
      </w:r>
    </w:p>
    <w:tbl>
      <w:tblPr>
        <w:tblW w:w="-5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931"/>
        <w:gridCol w:w="1931"/>
        <w:gridCol w:w="1931"/>
        <w:gridCol w:w="1131"/>
      </w:tblGrid>
      <w:tr w:rsidR="007E18F5">
        <w:trPr>
          <w:tblHeade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危急值智能预警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自定义危急值报警阈值，高危结果实时推送通知（系统内、微信、短信）；未处理危急值多次提醒</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危急值分级预警（一级</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二级）、预警信息自动关联主管医生；危急值处理记录全程留痕</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危急值未处理升级预警（超</w:t>
            </w:r>
            <w:r>
              <w:rPr>
                <w:rFonts w:ascii="宋体" w:eastAsia="宋体" w:hAnsi="宋体" w:cs="宋体" w:hint="eastAsia"/>
                <w:color w:val="000000"/>
                <w:kern w:val="0"/>
                <w:sz w:val="22"/>
                <w:lang w:bidi="ar"/>
              </w:rPr>
              <w:t xml:space="preserve"> 30 </w:t>
            </w:r>
            <w:r>
              <w:rPr>
                <w:rFonts w:ascii="宋体" w:eastAsia="宋体" w:hAnsi="宋体" w:cs="宋体" w:hint="eastAsia"/>
                <w:color w:val="000000"/>
                <w:kern w:val="0"/>
                <w:sz w:val="22"/>
                <w:lang w:bidi="ar"/>
              </w:rPr>
              <w:t>分钟未处理升级至科室主任</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管理员）</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对接</w:t>
            </w:r>
            <w:r>
              <w:rPr>
                <w:rFonts w:ascii="宋体" w:eastAsia="宋体" w:hAnsi="宋体" w:cs="宋体" w:hint="eastAsia"/>
                <w:color w:val="000000"/>
                <w:kern w:val="0"/>
                <w:sz w:val="22"/>
                <w:lang w:bidi="ar"/>
              </w:rPr>
              <w:t xml:space="preserve"> LIS/PACS </w:t>
            </w:r>
            <w:r>
              <w:rPr>
                <w:rFonts w:ascii="宋体" w:eastAsia="宋体" w:hAnsi="宋体" w:cs="宋体" w:hint="eastAsia"/>
                <w:color w:val="000000"/>
                <w:kern w:val="0"/>
                <w:sz w:val="22"/>
                <w:lang w:bidi="ar"/>
              </w:rPr>
              <w:t>系统，实现数据实时同步</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检查漏项智能预警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基于体检套餐</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定制项目，自动校验检查项目完成情况</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「检查项未执行预警」「检查项漏录入预警」；支持漏项原因标注、批量处理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检查项未执行</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漏录入预警、关键项目漏项升级预警</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核心预警功能，杜绝体检漏项</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体检流程节点管控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完善体检全流程节点记录，支持流程节点定义、记录模板设置、记录权限控制</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流程节点实时监控、逾期节点自动预警；流程效率分析、瓶颈节点智能识别</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流程节点停滞预警（某节点超时间未流转自动提醒）</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实现体检流程标准化、规范化</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报告审查全时间节点预警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覆盖报告撰写、初审、复审、终审、签发全流程时间管控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支持审查各节点时间阈值自定义；审核意见在线批注、一键退回修改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报告撰写逾期预警、报告审查时间预警、报告签发逾期预警</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核心预警功能，提升报告出具效率</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报告质量管控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统计体检报告平均完成时间、高级职称签署率；对报告漏项、错误自动校验，审核记录全程留痕</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报告质量智能评分、不合格报告自动退回；签署医生工作量统计、报告效率排名</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报告质量不达标预警（评分低于阈值</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多次退回自动提醒）</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提升报告准确性与时效性</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全流程数据互通</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实现体检数据与</w:t>
            </w:r>
            <w:r>
              <w:rPr>
                <w:rFonts w:ascii="宋体" w:eastAsia="宋体" w:hAnsi="宋体" w:cs="宋体" w:hint="eastAsia"/>
                <w:color w:val="000000"/>
                <w:kern w:val="0"/>
                <w:sz w:val="22"/>
                <w:lang w:bidi="ar"/>
              </w:rPr>
              <w:t xml:space="preserve"> HIS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LIS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PACS </w:t>
            </w:r>
            <w:r>
              <w:rPr>
                <w:rFonts w:ascii="宋体" w:eastAsia="宋体" w:hAnsi="宋体" w:cs="宋体" w:hint="eastAsia"/>
                <w:color w:val="000000"/>
                <w:kern w:val="0"/>
                <w:sz w:val="22"/>
                <w:lang w:bidi="ar"/>
              </w:rPr>
              <w:t>系统无缝对接，数据实时同步、双向互通</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数据传输加密、完整性校验；跨系统数据统一标准化、避免数据孤岛</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跨系统数据不一致预警（同一指标多系统数据偏差超阈值自动提醒）</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为质控分析提供全面、准确的数据支撑</w:t>
            </w:r>
          </w:p>
        </w:tc>
      </w:tr>
      <w:tr w:rsidR="007E18F5">
        <w:trPr>
          <w:jc w:val="center"/>
        </w:trPr>
        <w:tc>
          <w:tcPr>
            <w:tcW w:w="1750"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客户接待</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私域运营质控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对线下接待流程、私域沟通内容进行标准化质控，支持话术、消息内容审核、流程合规性校验</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接待记录</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私域沟通记录一键调取、智能审核；违规内容自动识别、预警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接待流程不规范预警、私域沟通违规内容预警</w:t>
            </w:r>
          </w:p>
        </w:tc>
        <w:tc>
          <w:tcPr>
            <w:tcW w:w="181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新增质控功能，保障客户服务质量标准化</w:t>
            </w:r>
          </w:p>
        </w:tc>
      </w:tr>
    </w:tbl>
    <w:p w:rsidR="007E18F5" w:rsidRDefault="00992935">
      <w:pPr>
        <w:pStyle w:val="2"/>
        <w:keepNext/>
        <w:keepLines/>
        <w:numPr>
          <w:ilvl w:val="0"/>
          <w:numId w:val="5"/>
        </w:numPr>
        <w:wordWrap w:val="0"/>
        <w:spacing w:line="360" w:lineRule="atLeast"/>
        <w:jc w:val="left"/>
        <w:rPr>
          <w:color w:val="000000"/>
          <w:sz w:val="24"/>
          <w:szCs w:val="24"/>
        </w:rPr>
      </w:pPr>
      <w:r>
        <w:rPr>
          <w:color w:val="000000"/>
          <w:sz w:val="24"/>
          <w:szCs w:val="24"/>
        </w:rPr>
        <w:t>数据统计与</w:t>
      </w:r>
      <w:r>
        <w:rPr>
          <w:color w:val="000000"/>
          <w:sz w:val="24"/>
          <w:szCs w:val="24"/>
        </w:rPr>
        <w:t xml:space="preserve"> AI </w:t>
      </w:r>
      <w:r>
        <w:rPr>
          <w:color w:val="000000"/>
          <w:sz w:val="24"/>
          <w:szCs w:val="24"/>
        </w:rPr>
        <w:t>辅助分析</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2235"/>
        <w:gridCol w:w="1656"/>
        <w:gridCol w:w="2060"/>
        <w:gridCol w:w="1414"/>
      </w:tblGrid>
      <w:tr w:rsidR="007E18F5">
        <w:trPr>
          <w:tblHeader/>
          <w:jc w:val="center"/>
        </w:trPr>
        <w:tc>
          <w:tcPr>
            <w:tcW w:w="153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2235"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2060"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414"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153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多维度质控指标统计</w:t>
            </w:r>
          </w:p>
        </w:tc>
        <w:tc>
          <w:tcPr>
            <w:tcW w:w="223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统计日均检查部位数、问卷完成率、大便标本留取率、随访完成率、私域触达率等≥</w:t>
            </w:r>
            <w:r>
              <w:rPr>
                <w:rFonts w:ascii="宋体" w:eastAsia="宋体" w:hAnsi="宋体" w:cs="宋体" w:hint="eastAsia"/>
                <w:color w:val="000000"/>
                <w:kern w:val="0"/>
                <w:sz w:val="22"/>
                <w:lang w:bidi="ar"/>
              </w:rPr>
              <w:t xml:space="preserve">25 </w:t>
            </w:r>
            <w:r>
              <w:rPr>
                <w:rFonts w:ascii="宋体" w:eastAsia="宋体" w:hAnsi="宋体" w:cs="宋体" w:hint="eastAsia"/>
                <w:color w:val="000000"/>
                <w:kern w:val="0"/>
                <w:sz w:val="22"/>
                <w:lang w:bidi="ar"/>
              </w:rPr>
              <w:t>项质控指标；支持按时间、院区、科室维度筛选</w:t>
            </w:r>
          </w:p>
        </w:tc>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指标实时更新、可视化展示；指标异常自动预警、生成原因分析报告</w:t>
            </w:r>
          </w:p>
        </w:tc>
        <w:tc>
          <w:tcPr>
            <w:tcW w:w="206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质控指标不达标持续预警（指标连续</w:t>
            </w:r>
            <w:r>
              <w:rPr>
                <w:rFonts w:ascii="宋体" w:eastAsia="宋体" w:hAnsi="宋体" w:cs="宋体" w:hint="eastAsia"/>
                <w:color w:val="000000"/>
                <w:kern w:val="0"/>
                <w:sz w:val="22"/>
                <w:lang w:bidi="ar"/>
              </w:rPr>
              <w:t xml:space="preserve"> 3 </w:t>
            </w:r>
            <w:r>
              <w:rPr>
                <w:rFonts w:ascii="宋体" w:eastAsia="宋体" w:hAnsi="宋体" w:cs="宋体" w:hint="eastAsia"/>
                <w:color w:val="000000"/>
                <w:kern w:val="0"/>
                <w:sz w:val="22"/>
                <w:lang w:bidi="ar"/>
              </w:rPr>
              <w:t>天不达标升级提醒）</w:t>
            </w:r>
          </w:p>
        </w:tc>
        <w:tc>
          <w:tcPr>
            <w:tcW w:w="141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包含基础质控、效率质控、服务质控、私域运营质控多维度</w:t>
            </w:r>
          </w:p>
        </w:tc>
      </w:tr>
      <w:tr w:rsidR="007E18F5">
        <w:trPr>
          <w:jc w:val="center"/>
        </w:trPr>
        <w:tc>
          <w:tcPr>
            <w:tcW w:w="153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AI </w:t>
            </w:r>
            <w:r>
              <w:rPr>
                <w:rFonts w:ascii="宋体" w:eastAsia="宋体" w:hAnsi="宋体" w:cs="宋体" w:hint="eastAsia"/>
                <w:color w:val="000000"/>
                <w:kern w:val="0"/>
                <w:sz w:val="22"/>
                <w:lang w:bidi="ar"/>
              </w:rPr>
              <w:t>辅助决策分析</w:t>
            </w:r>
          </w:p>
        </w:tc>
        <w:tc>
          <w:tcPr>
            <w:tcW w:w="223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通过机器学习算法对异常值进行分析，生成异常值分析报告；为质控改进、私域运营优化提供数据建议</w:t>
            </w:r>
          </w:p>
        </w:tc>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AI </w:t>
            </w:r>
            <w:r>
              <w:rPr>
                <w:rFonts w:ascii="宋体" w:eastAsia="宋体" w:hAnsi="宋体" w:cs="宋体" w:hint="eastAsia"/>
                <w:color w:val="000000"/>
                <w:kern w:val="0"/>
                <w:sz w:val="22"/>
                <w:lang w:bidi="ar"/>
              </w:rPr>
              <w:t>模型持续自学习、分析准确率不断提升；异常值跨系统关联分析、根因定位</w:t>
            </w:r>
          </w:p>
        </w:tc>
        <w:tc>
          <w:tcPr>
            <w:tcW w:w="206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AI </w:t>
            </w:r>
            <w:r>
              <w:rPr>
                <w:rFonts w:ascii="宋体" w:eastAsia="宋体" w:hAnsi="宋体" w:cs="宋体" w:hint="eastAsia"/>
                <w:color w:val="000000"/>
                <w:kern w:val="0"/>
                <w:sz w:val="22"/>
                <w:lang w:bidi="ar"/>
              </w:rPr>
              <w:t>分析异常结果预警（发现重大数据偏差</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规律异常立即触发）</w:t>
            </w:r>
          </w:p>
        </w:tc>
        <w:tc>
          <w:tcPr>
            <w:tcW w:w="141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适配大数据量质控分析、私域运营分析需求</w:t>
            </w:r>
          </w:p>
        </w:tc>
      </w:tr>
      <w:tr w:rsidR="007E18F5">
        <w:trPr>
          <w:jc w:val="center"/>
        </w:trPr>
        <w:tc>
          <w:tcPr>
            <w:tcW w:w="153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分级报表管</w:t>
            </w:r>
            <w:r>
              <w:rPr>
                <w:rFonts w:ascii="宋体" w:eastAsia="宋体" w:hAnsi="宋体" w:cs="宋体" w:hint="eastAsia"/>
                <w:color w:val="000000"/>
                <w:kern w:val="0"/>
                <w:sz w:val="22"/>
                <w:lang w:bidi="ar"/>
              </w:rPr>
              <w:lastRenderedPageBreak/>
              <w:t>理</w:t>
            </w:r>
          </w:p>
        </w:tc>
        <w:tc>
          <w:tcPr>
            <w:tcW w:w="223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支持月报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年报分</w:t>
            </w:r>
            <w:r>
              <w:rPr>
                <w:rFonts w:ascii="宋体" w:eastAsia="宋体" w:hAnsi="宋体" w:cs="宋体" w:hint="eastAsia"/>
                <w:color w:val="000000"/>
                <w:kern w:val="0"/>
                <w:sz w:val="22"/>
                <w:lang w:bidi="ar"/>
              </w:rPr>
              <w:lastRenderedPageBreak/>
              <w:t>级管理，分级权限控制填报、编辑、下载功能；二级数据月报可查看详细情况，三级数据年报支持编辑与上报</w:t>
            </w:r>
          </w:p>
        </w:tc>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报表自动生成、</w:t>
            </w:r>
            <w:r>
              <w:rPr>
                <w:rFonts w:ascii="宋体" w:eastAsia="宋体" w:hAnsi="宋体" w:cs="宋体" w:hint="eastAsia"/>
                <w:color w:val="000000"/>
                <w:kern w:val="0"/>
                <w:sz w:val="22"/>
                <w:lang w:bidi="ar"/>
              </w:rPr>
              <w:lastRenderedPageBreak/>
              <w:t>数据一键填充；报表数据与可视化看板联动、支持一键导出</w:t>
            </w:r>
          </w:p>
        </w:tc>
        <w:tc>
          <w:tcPr>
            <w:tcW w:w="206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报表填报逾期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lastRenderedPageBreak/>
              <w:t>漏报预警</w:t>
            </w:r>
          </w:p>
        </w:tc>
        <w:tc>
          <w:tcPr>
            <w:tcW w:w="141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适配院级</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lastRenderedPageBreak/>
              <w:t xml:space="preserve"> </w:t>
            </w:r>
            <w:r>
              <w:rPr>
                <w:rFonts w:ascii="宋体" w:eastAsia="宋体" w:hAnsi="宋体" w:cs="宋体" w:hint="eastAsia"/>
                <w:color w:val="000000"/>
                <w:kern w:val="0"/>
                <w:sz w:val="22"/>
                <w:lang w:bidi="ar"/>
              </w:rPr>
              <w:t>区域级质控数据上报需求</w:t>
            </w:r>
          </w:p>
        </w:tc>
      </w:tr>
      <w:tr w:rsidR="007E18F5">
        <w:trPr>
          <w:jc w:val="center"/>
        </w:trPr>
        <w:tc>
          <w:tcPr>
            <w:tcW w:w="1532"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数据分析看板</w:t>
            </w:r>
          </w:p>
        </w:tc>
        <w:tc>
          <w:tcPr>
            <w:tcW w:w="2235"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定制质控专属数据分析看板，支持数据展示维度、图表类型自定义；看板权限分级控制，适配不同管理角色</w:t>
            </w:r>
          </w:p>
        </w:tc>
        <w:tc>
          <w:tcPr>
            <w:tcW w:w="16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看板实时更新、支持多院区数据对比；质控指标完成率排名、改进措施跟踪</w:t>
            </w:r>
          </w:p>
        </w:tc>
        <w:tc>
          <w:tcPr>
            <w:tcW w:w="2060"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看板数据更新失败预警（数据未实时同步自动提醒维护人员）</w:t>
            </w:r>
          </w:p>
        </w:tc>
        <w:tc>
          <w:tcPr>
            <w:tcW w:w="141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为质控管理决策提供直观、高效的支撑</w:t>
            </w:r>
          </w:p>
        </w:tc>
      </w:tr>
    </w:tbl>
    <w:p w:rsidR="007E18F5" w:rsidRDefault="00992935">
      <w:pPr>
        <w:pStyle w:val="2"/>
        <w:keepNext/>
        <w:keepLines/>
        <w:numPr>
          <w:ilvl w:val="0"/>
          <w:numId w:val="5"/>
        </w:numPr>
        <w:wordWrap w:val="0"/>
        <w:spacing w:line="360" w:lineRule="atLeast"/>
        <w:jc w:val="left"/>
        <w:rPr>
          <w:color w:val="000000"/>
          <w:sz w:val="24"/>
          <w:szCs w:val="24"/>
        </w:rPr>
      </w:pPr>
      <w:r>
        <w:rPr>
          <w:color w:val="000000"/>
          <w:sz w:val="24"/>
          <w:szCs w:val="24"/>
        </w:rPr>
        <w:t>专病管理与转诊随访</w:t>
      </w:r>
    </w:p>
    <w:tbl>
      <w:tblPr>
        <w:tblW w:w="-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002"/>
        <w:gridCol w:w="2002"/>
        <w:gridCol w:w="2002"/>
        <w:gridCol w:w="1252"/>
      </w:tblGrid>
      <w:tr w:rsidR="007E18F5">
        <w:trPr>
          <w:tblHeade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9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检后专病管理队列</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支持按慢病类型建立专病管理队列，制定标准化管理规则；队列状态实时更新，支持队列维护与调整</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专病队列与健康风险分组、私域客户标签联动；高危人群自动纳入</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专病队列漏纳入预警（符合条件未纳入队列自动提醒）</w:t>
            </w:r>
          </w:p>
        </w:tc>
        <w:tc>
          <w:tcPr>
            <w:tcW w:w="19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适配高血压、糖尿病、肿瘤等重点慢病管理</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专病诊疗协同</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支持专病医生首诊分配、首诊记录模板化、首诊结果反馈；专病护士</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私域运营随访计划制定、随访结果记录</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首诊与随访</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私域沟通无缝衔接；诊疗信息实时同步至私域端</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专病首诊逾期预警、专病随访未执行预警</w:t>
            </w:r>
          </w:p>
        </w:tc>
        <w:tc>
          <w:tcPr>
            <w:tcW w:w="19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实现专病管理全流程闭环</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异常结果追踪管理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实时统计高危异常结果通知率、重要异常结果随访率；对未通知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未随访的异常结果自动预警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异常结果分级追踪（高危</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重要</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一般）、追踪进度可视化；通知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随访记录全程留痕</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异常结果通知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随访逾期升级预警</w:t>
            </w:r>
          </w:p>
        </w:tc>
        <w:tc>
          <w:tcPr>
            <w:tcW w:w="19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确保异常结果无遗漏、全干预，通知信息同步至私域端</w:t>
            </w:r>
          </w:p>
        </w:tc>
      </w:tr>
      <w:tr w:rsidR="007E18F5">
        <w:trPr>
          <w:trHeight w:val="1932"/>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转诊全流程管理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支持转诊医院</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科室选择、转诊信息记录、转诊进度跟踪；对接门诊预约系统，实现转诊一键预约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转诊指征智能判断、转诊医院</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科室精准推荐；转诊结果反馈、转诊效果分析</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转诊预约逾期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转诊未完成预警</w:t>
            </w:r>
          </w:p>
        </w:tc>
        <w:tc>
          <w:tcPr>
            <w:tcW w:w="19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实现检后</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临床诊疗双向转诊无缝衔接，转诊进度同步至私域端</w:t>
            </w:r>
          </w:p>
        </w:tc>
      </w:tr>
      <w:tr w:rsidR="007E18F5">
        <w:trPr>
          <w:jc w:val="center"/>
        </w:trPr>
        <w:tc>
          <w:tcPr>
            <w:tcW w:w="1950"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专家会诊管理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支持会诊资料上传、会诊专家邀请、会诊意见记录、会诊结果反馈；会诊全程线上化，提升会诊效率</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多学科会诊（</w:t>
            </w:r>
            <w:r>
              <w:rPr>
                <w:rFonts w:ascii="宋体" w:eastAsia="宋体" w:hAnsi="宋体" w:cs="宋体" w:hint="eastAsia"/>
                <w:color w:val="000000"/>
                <w:kern w:val="0"/>
                <w:sz w:val="22"/>
                <w:lang w:bidi="ar"/>
              </w:rPr>
              <w:t>MDT</w:t>
            </w:r>
            <w:r>
              <w:rPr>
                <w:rFonts w:ascii="宋体" w:eastAsia="宋体" w:hAnsi="宋体" w:cs="宋体" w:hint="eastAsia"/>
                <w:color w:val="000000"/>
                <w:kern w:val="0"/>
                <w:sz w:val="22"/>
                <w:lang w:bidi="ar"/>
              </w:rPr>
              <w:t>）支持、会诊时间线上预约；会诊记录自动纳入客户档案、私域端同步</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会诊申请逾期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会诊未完成预警</w:t>
            </w:r>
          </w:p>
        </w:tc>
        <w:tc>
          <w:tcPr>
            <w:tcW w:w="195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适配疑难病例检后诊疗需求</w:t>
            </w:r>
          </w:p>
        </w:tc>
      </w:tr>
    </w:tbl>
    <w:p w:rsidR="007E18F5" w:rsidRDefault="00992935">
      <w:pPr>
        <w:pStyle w:val="2"/>
        <w:keepNext/>
        <w:keepLines/>
        <w:numPr>
          <w:ilvl w:val="0"/>
          <w:numId w:val="5"/>
        </w:numPr>
        <w:wordWrap w:val="0"/>
        <w:spacing w:line="360" w:lineRule="atLeast"/>
        <w:jc w:val="left"/>
        <w:rPr>
          <w:color w:val="000000"/>
          <w:sz w:val="24"/>
          <w:szCs w:val="24"/>
        </w:rPr>
      </w:pPr>
      <w:r>
        <w:rPr>
          <w:color w:val="000000"/>
          <w:sz w:val="24"/>
          <w:szCs w:val="24"/>
        </w:rPr>
        <w:t>数据安全与质控审计</w:t>
      </w:r>
    </w:p>
    <w:tbl>
      <w:tblPr>
        <w:tblW w:w="-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981"/>
        <w:gridCol w:w="1981"/>
        <w:gridCol w:w="1981"/>
        <w:gridCol w:w="1197"/>
      </w:tblGrid>
      <w:tr w:rsidR="007E18F5">
        <w:trPr>
          <w:tblHeade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lastRenderedPageBreak/>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884"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全维度信息数据安全</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采用数据加密、访问权限控制、操作日志审计等多重安全措施；确保质控、临床、私域客户数据不泄露、不篡改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符合等保三级及以上标准、遵循《个人信息保护法》；敏感数据脱敏、操作行为全程追溯</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数据异常操作</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泄露预警（违规访问</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数据导出自动提醒）</w:t>
            </w:r>
          </w:p>
        </w:tc>
        <w:tc>
          <w:tcPr>
            <w:tcW w:w="18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保障医疗数据、科研数据、私域客户数据安全</w:t>
            </w:r>
          </w:p>
        </w:tc>
      </w:tr>
      <w:tr w:rsidR="007E18F5">
        <w:trPr>
          <w:jc w:val="center"/>
        </w:trPr>
        <w:tc>
          <w:tcPr>
            <w:tcW w:w="0" w:type="auto"/>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质控操作审计追溯</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对所有质控、接待、私域运营操作进行全程记录，包含操作人员、时间、内容；记录不可篡改，支持多条件查询</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操作记录可视化追溯、异常操作自动预警；审计报告自动生成、支持一键导出</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质控</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接待</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私域操作未记录</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异常预警</w:t>
            </w:r>
          </w:p>
        </w:tc>
        <w:tc>
          <w:tcPr>
            <w:tcW w:w="18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实现质控、客户服务工作全程可审计、可追溯</w:t>
            </w:r>
          </w:p>
        </w:tc>
      </w:tr>
      <w:tr w:rsidR="007E18F5">
        <w:trPr>
          <w:jc w:val="center"/>
        </w:trPr>
        <w:tc>
          <w:tcPr>
            <w:tcW w:w="1868"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预警记录全生命周期管理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整合系统所有预警记录，支持分类、查询、统计、复盘；支持预警处理状态跟踪、处理结果标注</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预警发生率统计、根因分析；支持预警规则优化建议生成；预警数据纳入质控分析</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预警未处理累计预警（单用户</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单岗位未处理预警超阈值提醒）</w:t>
            </w:r>
          </w:p>
        </w:tc>
        <w:tc>
          <w:tcPr>
            <w:tcW w:w="1884"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配套预警功能，实现预警闭环管理</w:t>
            </w:r>
          </w:p>
        </w:tc>
      </w:tr>
    </w:tbl>
    <w:p w:rsidR="007E18F5" w:rsidRDefault="00992935">
      <w:pPr>
        <w:pStyle w:val="2"/>
        <w:keepNext/>
        <w:keepLines/>
        <w:numPr>
          <w:ilvl w:val="0"/>
          <w:numId w:val="3"/>
        </w:numPr>
        <w:wordWrap w:val="0"/>
        <w:spacing w:line="360" w:lineRule="atLeast"/>
        <w:jc w:val="left"/>
        <w:rPr>
          <w:color w:val="000000"/>
          <w:sz w:val="28"/>
          <w:szCs w:val="28"/>
        </w:rPr>
      </w:pPr>
      <w:r>
        <w:rPr>
          <w:color w:val="000000"/>
          <w:sz w:val="28"/>
          <w:szCs w:val="28"/>
        </w:rPr>
        <w:t>区域远程总检系统（区域协同模块）</w:t>
      </w:r>
    </w:p>
    <w:tbl>
      <w:tblPr>
        <w:tblW w:w="-6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897"/>
        <w:gridCol w:w="1897"/>
        <w:gridCol w:w="1897"/>
        <w:gridCol w:w="1192"/>
      </w:tblGrid>
      <w:tr w:rsidR="007E18F5">
        <w:trPr>
          <w:tblHeade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功能点</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核心要求</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市场先进特性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预警机制</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备注</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区域健康管理协作平台搭建</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设定区域协同规则、制定平台接入标准；建立区域数据共享机制，实现分院与总院数据互通</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平台支持多机构接入、分级权限管理；平台运行状态实时监控、异常自动报警</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平台接入异常</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节点离线预警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适配区域医疗联合体（医联体）协同需求</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标准化健康知识库分发</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实现总院健康知识库、私域科普库、接待话术库向区域分院标准化分发</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知识库更新实时同步、分院可个性化补充；分发效果数据统计、知识使用率分析</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知识库分发失败</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未同步预警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提升区域整体健康管理、客户服务专业水平</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多院区数据一体化管理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采用树状组织架构，支持总机构与子院区层级关系定义；建立标准化健康档案数据库，整合区域内体检报告、就医记录、客户接待</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私域数据</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多院区数据统一视图、健康画像</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客户标签跨院区共享；区域内数据统计分析、人群健康状况研判</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多院区数据同步失败预警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实现区域内健康数据、客户服务数据互联互通</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分院数据远程上传</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支持分院健康体检数据、总检结果、客户服务数据实时上传至总院平台；数据上传格式标准化、数据完</w:t>
            </w:r>
            <w:r>
              <w:rPr>
                <w:rFonts w:ascii="宋体" w:eastAsia="宋体" w:hAnsi="宋体" w:cs="宋体" w:hint="eastAsia"/>
                <w:color w:val="000000"/>
                <w:kern w:val="0"/>
                <w:sz w:val="22"/>
                <w:lang w:bidi="ar"/>
              </w:rPr>
              <w:lastRenderedPageBreak/>
              <w:t>整性智能校验</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数据上传断点续传、上传进度实时追踪；数据异常自动提醒、一键重新上传</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分院数据上传逾期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失败预警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支持大批量数据高效、稳定上传</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协诊总检智能提醒</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分院上传数据后，协诊总检任务自动推送至总院专家端；提醒规则可自定义，支持系统内、微信提醒</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任务按专家工作量智能分配、紧急任务优先推送；任务完成进度实时监控</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协诊总检任务未接收</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逾期预警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提升远程总检效率，减少等待时间</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三级审核流程管理</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严格执行</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“分院初审→总院专家复审→终审报告生成”</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三级审核；审核修改记录、电子签名全程可追溯</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审核意见在线批注、一键退回修改；审核进度可视化、审核效率统计分析</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三级审核各节点逾期预警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确保远程总检报告质量与准确性</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总院远程总检与报告反馈</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总院专家在线完成远程总检，生成标准化总检报告；报告实时反馈至分院平台，支持分院打印、下发、私域端推送</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总检报告与分院体检数据联动、异常指标重点标注；报告支持多版本输出</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总检报告反馈逾期</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接收失败预警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实现远程总检报告快速、精准反馈，同步至客户私域端</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区域双向转诊系统</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配备区域内双向转诊系统，建立总院与分院专科联盟协作机制；支持转诊信息区域内共享、转诊进度跨机构跟踪</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转诊指征区域标准化、转诊通道绿色化；转诊效果区域统计、分级诊疗效率分析</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区域转诊跨机构逾期预警</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实现区域内检后</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诊疗</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康复全流程协同</w:t>
            </w:r>
          </w:p>
        </w:tc>
      </w:tr>
      <w:tr w:rsidR="007E18F5">
        <w:trPr>
          <w:jc w:val="center"/>
        </w:trPr>
        <w:tc>
          <w:tcPr>
            <w:tcW w:w="2756" w:type="dxa"/>
            <w:tcBorders>
              <w:tl2br w:val="nil"/>
              <w:tr2bl w:val="nil"/>
            </w:tcBorders>
            <w:shd w:val="clear" w:color="auto" w:fill="auto"/>
            <w:noWrap/>
            <w:vAlign w:val="center"/>
          </w:tcPr>
          <w:p w:rsidR="007E18F5" w:rsidRDefault="00992935">
            <w:pPr>
              <w:keepNext/>
              <w:keepLines/>
              <w:wordWrap w:val="0"/>
              <w:snapToGrid w:val="0"/>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健康画像区域可视化</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利用健康画像驾驶舱实现区域内多院区患者健康数据、客户服务数据</w:t>
            </w:r>
            <w:r>
              <w:rPr>
                <w:rFonts w:ascii="宋体" w:eastAsia="宋体" w:hAnsi="宋体" w:cs="宋体" w:hint="eastAsia"/>
                <w:color w:val="000000"/>
                <w:kern w:val="0"/>
                <w:sz w:val="22"/>
                <w:lang w:bidi="ar"/>
              </w:rPr>
              <w:t xml:space="preserve"> 3D </w:t>
            </w:r>
            <w:r>
              <w:rPr>
                <w:rFonts w:ascii="宋体" w:eastAsia="宋体" w:hAnsi="宋体" w:cs="宋体" w:hint="eastAsia"/>
                <w:color w:val="000000"/>
                <w:kern w:val="0"/>
                <w:sz w:val="22"/>
                <w:lang w:bidi="ar"/>
              </w:rPr>
              <w:t>可视化呈现；支持按人群、疾病、区域维度筛选查看</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健康画像与区域质控、科研、私域运营数据联动；区域健康风险实时研判</w:t>
            </w:r>
          </w:p>
        </w:tc>
        <w:tc>
          <w:tcPr>
            <w:tcW w:w="3216"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区域公共卫生风险预警（某疾病区域发病率骤升自动触发）</w:t>
            </w:r>
          </w:p>
        </w:tc>
        <w:tc>
          <w:tcPr>
            <w:tcW w:w="1957" w:type="dxa"/>
            <w:tcBorders>
              <w:tl2br w:val="nil"/>
              <w:tr2bl w:val="nil"/>
            </w:tcBorders>
            <w:shd w:val="clear" w:color="auto" w:fill="auto"/>
            <w:noWrap/>
            <w:vAlign w:val="center"/>
          </w:tcPr>
          <w:p w:rsidR="007E18F5" w:rsidRDefault="00992935">
            <w:pPr>
              <w:keepNext/>
              <w:keepLines/>
              <w:wordWrap w:val="0"/>
              <w:snapToGrid w:val="0"/>
              <w:spacing w:line="240" w:lineRule="auto"/>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为区域公共卫生决策、运营优化提供数据支撑</w:t>
            </w:r>
          </w:p>
        </w:tc>
      </w:tr>
    </w:tbl>
    <w:p w:rsidR="007E18F5" w:rsidRDefault="00992935">
      <w:pPr>
        <w:pStyle w:val="2"/>
        <w:keepNext/>
        <w:keepLines/>
        <w:numPr>
          <w:ilvl w:val="0"/>
          <w:numId w:val="3"/>
        </w:numPr>
        <w:wordWrap w:val="0"/>
        <w:spacing w:line="360" w:lineRule="atLeast"/>
        <w:jc w:val="left"/>
        <w:rPr>
          <w:color w:val="000000"/>
          <w:sz w:val="28"/>
          <w:szCs w:val="28"/>
        </w:rPr>
      </w:pPr>
      <w:r>
        <w:rPr>
          <w:color w:val="000000"/>
          <w:sz w:val="28"/>
          <w:szCs w:val="28"/>
        </w:rPr>
        <w:t>基础技术与服务保障要求</w:t>
      </w:r>
    </w:p>
    <w:p w:rsidR="007E18F5" w:rsidRDefault="00992935">
      <w:pPr>
        <w:pStyle w:val="3"/>
        <w:keepNext/>
        <w:keepLines/>
        <w:numPr>
          <w:ilvl w:val="2"/>
          <w:numId w:val="0"/>
        </w:numPr>
        <w:wordWrap w:val="0"/>
        <w:spacing w:line="400" w:lineRule="exact"/>
        <w:ind w:firstLineChars="200" w:firstLine="482"/>
        <w:jc w:val="left"/>
        <w:rPr>
          <w:rFonts w:cs="黑体"/>
          <w:b/>
          <w:bCs/>
          <w:color w:val="000000"/>
          <w:sz w:val="24"/>
          <w:szCs w:val="24"/>
        </w:rPr>
      </w:pPr>
      <w:r>
        <w:rPr>
          <w:rFonts w:cs="黑体" w:hint="eastAsia"/>
          <w:b/>
          <w:bCs/>
          <w:color w:val="000000"/>
          <w:sz w:val="24"/>
          <w:szCs w:val="24"/>
        </w:rPr>
        <w:t>（一）技术架构要求</w:t>
      </w:r>
    </w:p>
    <w:p w:rsidR="007E18F5" w:rsidRDefault="00992935">
      <w:pPr>
        <w:keepNext/>
        <w:keepLines/>
        <w:numPr>
          <w:ilvl w:val="0"/>
          <w:numId w:val="6"/>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系统采用</w:t>
      </w:r>
      <w:r>
        <w:rPr>
          <w:rFonts w:ascii="宋体" w:eastAsia="宋体" w:hAnsi="宋体" w:cs="宋体" w:hint="eastAsia"/>
          <w:color w:val="000000"/>
          <w:sz w:val="24"/>
          <w:szCs w:val="24"/>
        </w:rPr>
        <w:t xml:space="preserve">B/S </w:t>
      </w:r>
      <w:r>
        <w:rPr>
          <w:rFonts w:ascii="宋体" w:eastAsia="宋体" w:hAnsi="宋体" w:cs="宋体" w:hint="eastAsia"/>
          <w:color w:val="000000"/>
          <w:sz w:val="24"/>
          <w:szCs w:val="24"/>
        </w:rPr>
        <w:t>架构，兼容</w:t>
      </w:r>
      <w:r>
        <w:rPr>
          <w:rFonts w:ascii="宋体" w:eastAsia="宋体" w:hAnsi="宋体" w:cs="宋体" w:hint="eastAsia"/>
          <w:color w:val="000000"/>
          <w:sz w:val="24"/>
          <w:szCs w:val="24"/>
        </w:rPr>
        <w:t xml:space="preserve"> Windows</w:t>
      </w:r>
      <w:r>
        <w:rPr>
          <w:rFonts w:ascii="宋体" w:eastAsia="宋体" w:hAnsi="宋体" w:cs="宋体" w:hint="eastAsia"/>
          <w:color w:val="000000"/>
          <w:sz w:val="24"/>
          <w:szCs w:val="24"/>
        </w:rPr>
        <w:t>、</w:t>
      </w:r>
      <w:r>
        <w:rPr>
          <w:rFonts w:ascii="宋体" w:eastAsia="宋体" w:hAnsi="宋体" w:cs="宋体" w:hint="eastAsia"/>
          <w:color w:val="000000"/>
          <w:sz w:val="24"/>
          <w:szCs w:val="24"/>
        </w:rPr>
        <w:t xml:space="preserve">Linux </w:t>
      </w:r>
      <w:r>
        <w:rPr>
          <w:rFonts w:ascii="宋体" w:eastAsia="宋体" w:hAnsi="宋体" w:cs="宋体" w:hint="eastAsia"/>
          <w:color w:val="000000"/>
          <w:sz w:val="24"/>
          <w:szCs w:val="24"/>
        </w:rPr>
        <w:t>等主流操作系统，支持</w:t>
      </w:r>
      <w:r>
        <w:rPr>
          <w:rFonts w:ascii="宋体" w:eastAsia="宋体" w:hAnsi="宋体" w:cs="宋体" w:hint="eastAsia"/>
          <w:color w:val="000000"/>
          <w:sz w:val="24"/>
          <w:szCs w:val="24"/>
        </w:rPr>
        <w:t xml:space="preserve"> Chrome</w:t>
      </w:r>
      <w:r>
        <w:rPr>
          <w:rFonts w:ascii="宋体" w:eastAsia="宋体" w:hAnsi="宋体" w:cs="宋体" w:hint="eastAsia"/>
          <w:color w:val="000000"/>
          <w:sz w:val="24"/>
          <w:szCs w:val="24"/>
        </w:rPr>
        <w:t>、</w:t>
      </w:r>
      <w:r>
        <w:rPr>
          <w:rFonts w:ascii="宋体" w:eastAsia="宋体" w:hAnsi="宋体" w:cs="宋体" w:hint="eastAsia"/>
          <w:color w:val="000000"/>
          <w:sz w:val="24"/>
          <w:szCs w:val="24"/>
        </w:rPr>
        <w:t>Edge</w:t>
      </w:r>
      <w:r>
        <w:rPr>
          <w:rFonts w:ascii="宋体" w:eastAsia="宋体" w:hAnsi="宋体" w:cs="宋体" w:hint="eastAsia"/>
          <w:color w:val="000000"/>
          <w:sz w:val="24"/>
          <w:szCs w:val="24"/>
        </w:rPr>
        <w:t>、</w:t>
      </w:r>
      <w:r>
        <w:rPr>
          <w:rFonts w:ascii="宋体" w:eastAsia="宋体" w:hAnsi="宋体" w:cs="宋体" w:hint="eastAsia"/>
          <w:color w:val="000000"/>
          <w:sz w:val="24"/>
          <w:szCs w:val="24"/>
        </w:rPr>
        <w:t xml:space="preserve">Firefox </w:t>
      </w:r>
      <w:r>
        <w:rPr>
          <w:rFonts w:ascii="宋体" w:eastAsia="宋体" w:hAnsi="宋体" w:cs="宋体" w:hint="eastAsia"/>
          <w:color w:val="000000"/>
          <w:sz w:val="24"/>
          <w:szCs w:val="24"/>
        </w:rPr>
        <w:t>等主流浏览器，无需安装专属插件；</w:t>
      </w:r>
    </w:p>
    <w:p w:rsidR="007E18F5" w:rsidRDefault="00992935">
      <w:pPr>
        <w:keepNext/>
        <w:keepLines/>
        <w:numPr>
          <w:ilvl w:val="0"/>
          <w:numId w:val="6"/>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采用分布式部署，支持多院区</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多机构</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私域运营端接入，满足高并发、大数据量处理需求，系统响应时间≤</w:t>
      </w:r>
      <w:r>
        <w:rPr>
          <w:rFonts w:ascii="宋体" w:eastAsia="宋体" w:hAnsi="宋体" w:cs="宋体" w:hint="eastAsia"/>
          <w:color w:val="000000"/>
          <w:sz w:val="24"/>
          <w:szCs w:val="24"/>
        </w:rPr>
        <w:t xml:space="preserve">3 </w:t>
      </w:r>
      <w:r>
        <w:rPr>
          <w:rFonts w:ascii="宋体" w:eastAsia="宋体" w:hAnsi="宋体" w:cs="宋体" w:hint="eastAsia"/>
          <w:color w:val="000000"/>
          <w:sz w:val="24"/>
          <w:szCs w:val="24"/>
        </w:rPr>
        <w:t>秒；</w:t>
      </w:r>
    </w:p>
    <w:p w:rsidR="007E18F5" w:rsidRDefault="00992935">
      <w:pPr>
        <w:keepNext/>
        <w:keepLines/>
        <w:numPr>
          <w:ilvl w:val="0"/>
          <w:numId w:val="6"/>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数据库采用</w:t>
      </w:r>
      <w:r>
        <w:rPr>
          <w:rFonts w:ascii="宋体" w:eastAsia="宋体" w:hAnsi="宋体" w:cs="宋体" w:hint="eastAsia"/>
          <w:color w:val="000000"/>
          <w:sz w:val="24"/>
          <w:szCs w:val="24"/>
        </w:rPr>
        <w:t xml:space="preserve"> MySQL/Oracle </w:t>
      </w:r>
      <w:r>
        <w:rPr>
          <w:rFonts w:ascii="宋体" w:eastAsia="宋体" w:hAnsi="宋体" w:cs="宋体" w:hint="eastAsia"/>
          <w:color w:val="000000"/>
          <w:sz w:val="24"/>
          <w:szCs w:val="24"/>
        </w:rPr>
        <w:t>等主流高效稳定数据库，支持数据自动定时备份、异地备份，故障快速恢复，备份文件一键还原；</w:t>
      </w:r>
    </w:p>
    <w:p w:rsidR="007E18F5" w:rsidRDefault="00992935">
      <w:pPr>
        <w:keepNext/>
        <w:keepLines/>
        <w:numPr>
          <w:ilvl w:val="0"/>
          <w:numId w:val="6"/>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符合国家信息安全等级保护三级及以上标准，采用数据加密、身份认证、访问控制、操作日志等多重安全措施，确保临床、科研、私域客户数据安全；</w:t>
      </w:r>
    </w:p>
    <w:p w:rsidR="007E18F5" w:rsidRDefault="00992935">
      <w:pPr>
        <w:keepNext/>
        <w:keepLines/>
        <w:numPr>
          <w:ilvl w:val="0"/>
          <w:numId w:val="6"/>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预警</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私域系统专属技术要求：①</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支持全系统预警规则可视化自定义配置（阈值、方式、分级、接收人、触达渠</w:t>
      </w:r>
      <w:r>
        <w:rPr>
          <w:rFonts w:ascii="宋体" w:eastAsia="宋体" w:hAnsi="宋体" w:cs="宋体" w:hint="eastAsia"/>
          <w:color w:val="000000"/>
          <w:sz w:val="24"/>
          <w:szCs w:val="24"/>
        </w:rPr>
        <w:t>道）；②</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预警消息支持多渠道触达（系统内弹窗、微信</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企业微信、短信、邮件）；③</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私域模块支持与企业微信</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公众号</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小程序无缝对接，实现客户标签、沟通记录、任务提醒自动同步；④</w:t>
      </w: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预警</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私域数据支持实时统计、复盘分析，适配大数据量处理。</w:t>
      </w:r>
    </w:p>
    <w:p w:rsidR="007E18F5" w:rsidRDefault="00992935">
      <w:pPr>
        <w:keepNext/>
        <w:keepLines/>
        <w:wordWrap w:val="0"/>
        <w:spacing w:line="400" w:lineRule="exact"/>
        <w:ind w:leftChars="200" w:left="560"/>
        <w:jc w:val="left"/>
        <w:rPr>
          <w:rFonts w:ascii="黑体" w:eastAsia="黑体" w:hAnsi="黑体" w:cs="黑体"/>
          <w:b/>
          <w:bCs/>
          <w:color w:val="000000"/>
          <w:sz w:val="24"/>
          <w:szCs w:val="24"/>
        </w:rPr>
      </w:pPr>
      <w:r>
        <w:rPr>
          <w:rFonts w:ascii="黑体" w:eastAsia="黑体" w:hAnsi="黑体" w:cs="黑体" w:hint="eastAsia"/>
          <w:b/>
          <w:bCs/>
          <w:color w:val="000000"/>
          <w:sz w:val="24"/>
          <w:szCs w:val="24"/>
        </w:rPr>
        <w:t>（二）系统对接要求</w:t>
      </w:r>
    </w:p>
    <w:p w:rsidR="007E18F5" w:rsidRDefault="00992935">
      <w:pPr>
        <w:keepNext/>
        <w:keepLines/>
        <w:numPr>
          <w:ilvl w:val="0"/>
          <w:numId w:val="7"/>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与健康管理中心现有体检系统、</w:t>
      </w:r>
      <w:r>
        <w:rPr>
          <w:rFonts w:ascii="宋体" w:eastAsia="宋体" w:hAnsi="宋体" w:cs="宋体" w:hint="eastAsia"/>
          <w:color w:val="000000"/>
          <w:sz w:val="24"/>
          <w:szCs w:val="24"/>
        </w:rPr>
        <w:t>HIS</w:t>
      </w:r>
      <w:r>
        <w:rPr>
          <w:rFonts w:ascii="宋体" w:eastAsia="宋体" w:hAnsi="宋体" w:cs="宋体" w:hint="eastAsia"/>
          <w:color w:val="000000"/>
          <w:sz w:val="24"/>
          <w:szCs w:val="24"/>
        </w:rPr>
        <w:t>、</w:t>
      </w:r>
      <w:r>
        <w:rPr>
          <w:rFonts w:ascii="宋体" w:eastAsia="宋体" w:hAnsi="宋体" w:cs="宋体" w:hint="eastAsia"/>
          <w:color w:val="000000"/>
          <w:sz w:val="24"/>
          <w:szCs w:val="24"/>
        </w:rPr>
        <w:t>LIS</w:t>
      </w:r>
      <w:r>
        <w:rPr>
          <w:rFonts w:ascii="宋体" w:eastAsia="宋体" w:hAnsi="宋体" w:cs="宋体" w:hint="eastAsia"/>
          <w:color w:val="000000"/>
          <w:sz w:val="24"/>
          <w:szCs w:val="24"/>
        </w:rPr>
        <w:t>、</w:t>
      </w:r>
      <w:r>
        <w:rPr>
          <w:rFonts w:ascii="宋体" w:eastAsia="宋体" w:hAnsi="宋体" w:cs="宋体" w:hint="eastAsia"/>
          <w:color w:val="000000"/>
          <w:sz w:val="24"/>
          <w:szCs w:val="24"/>
        </w:rPr>
        <w:t>PACS</w:t>
      </w:r>
      <w:r>
        <w:rPr>
          <w:rFonts w:ascii="宋体" w:eastAsia="宋体" w:hAnsi="宋体" w:cs="宋体" w:hint="eastAsia"/>
          <w:color w:val="000000"/>
          <w:sz w:val="24"/>
          <w:szCs w:val="24"/>
        </w:rPr>
        <w:t>、心电系统无缝对接，实现临床数据实时同步、双向互通；</w:t>
      </w:r>
    </w:p>
    <w:p w:rsidR="007E18F5" w:rsidRDefault="00992935">
      <w:pPr>
        <w:keepNext/>
        <w:keepLines/>
        <w:numPr>
          <w:ilvl w:val="0"/>
          <w:numId w:val="7"/>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与可穿戴设备、便携式健康监测设备对接，支持监测数据自动上传、同步至临床</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私域端；</w:t>
      </w:r>
    </w:p>
    <w:p w:rsidR="007E18F5" w:rsidRDefault="00992935">
      <w:pPr>
        <w:keepNext/>
        <w:keepLines/>
        <w:numPr>
          <w:ilvl w:val="0"/>
          <w:numId w:val="7"/>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与企业微信、公众号、小程序等私域平台对接，实现客户建</w:t>
      </w:r>
      <w:r>
        <w:rPr>
          <w:rFonts w:ascii="宋体" w:eastAsia="宋体" w:hAnsi="宋体" w:cs="宋体" w:hint="eastAsia"/>
          <w:color w:val="000000"/>
          <w:sz w:val="24"/>
          <w:szCs w:val="24"/>
        </w:rPr>
        <w:t>档、标签管理、消息推送、沟通记录同步；</w:t>
      </w:r>
    </w:p>
    <w:p w:rsidR="007E18F5" w:rsidRDefault="00992935">
      <w:pPr>
        <w:keepNext/>
        <w:keepLines/>
        <w:numPr>
          <w:ilvl w:val="0"/>
          <w:numId w:val="7"/>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与短信、邮件、线下预约系统对接，实现客户接待预约、预警消息、健康提醒全渠道触达；</w:t>
      </w:r>
    </w:p>
    <w:p w:rsidR="007E18F5" w:rsidRDefault="00992935">
      <w:pPr>
        <w:keepNext/>
        <w:keepLines/>
        <w:numPr>
          <w:ilvl w:val="0"/>
          <w:numId w:val="7"/>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预留区域医疗平台、公共卫生平台标准化接口，支持数据上报、共享及区域预警</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协同联动。</w:t>
      </w:r>
    </w:p>
    <w:p w:rsidR="007E18F5" w:rsidRDefault="00992935">
      <w:pPr>
        <w:keepNext/>
        <w:keepLines/>
        <w:wordWrap w:val="0"/>
        <w:spacing w:line="400" w:lineRule="exact"/>
        <w:ind w:leftChars="200" w:left="560"/>
        <w:jc w:val="left"/>
        <w:rPr>
          <w:rFonts w:ascii="黑体" w:eastAsia="黑体" w:hAnsi="黑体" w:cs="黑体"/>
          <w:b/>
          <w:bCs/>
          <w:color w:val="000000"/>
          <w:sz w:val="24"/>
          <w:szCs w:val="24"/>
        </w:rPr>
      </w:pPr>
      <w:r>
        <w:rPr>
          <w:rFonts w:ascii="黑体" w:eastAsia="黑体" w:hAnsi="黑体" w:cs="黑体" w:hint="eastAsia"/>
          <w:b/>
          <w:bCs/>
          <w:color w:val="000000"/>
          <w:sz w:val="24"/>
          <w:szCs w:val="24"/>
        </w:rPr>
        <w:t>（三）服务保障要求</w:t>
      </w:r>
    </w:p>
    <w:p w:rsidR="007E18F5" w:rsidRDefault="00992935">
      <w:pPr>
        <w:keepNext/>
        <w:keepLines/>
        <w:numPr>
          <w:ilvl w:val="0"/>
          <w:numId w:val="8"/>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免费维保期：提供至少</w:t>
      </w:r>
      <w:r>
        <w:rPr>
          <w:rFonts w:ascii="宋体" w:eastAsia="宋体" w:hAnsi="宋体" w:cs="宋体" w:hint="eastAsia"/>
          <w:color w:val="000000"/>
          <w:sz w:val="24"/>
          <w:szCs w:val="24"/>
        </w:rPr>
        <w:t xml:space="preserve"> 1 </w:t>
      </w:r>
      <w:r>
        <w:rPr>
          <w:rFonts w:ascii="宋体" w:eastAsia="宋体" w:hAnsi="宋体" w:cs="宋体" w:hint="eastAsia"/>
          <w:color w:val="000000"/>
          <w:sz w:val="24"/>
          <w:szCs w:val="24"/>
        </w:rPr>
        <w:t>年免费保修及技术服务，自系统正式上线之日起计算，支持维保期延长协商；</w:t>
      </w:r>
    </w:p>
    <w:p w:rsidR="007E18F5" w:rsidRDefault="00992935">
      <w:pPr>
        <w:keepNext/>
        <w:keepLines/>
        <w:numPr>
          <w:ilvl w:val="0"/>
          <w:numId w:val="8"/>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技术支持：</w:t>
      </w:r>
      <w:r>
        <w:rPr>
          <w:rFonts w:ascii="宋体" w:eastAsia="宋体" w:hAnsi="宋体" w:cs="宋体" w:hint="eastAsia"/>
          <w:color w:val="000000"/>
          <w:sz w:val="24"/>
          <w:szCs w:val="24"/>
        </w:rPr>
        <w:t>7</w:t>
      </w:r>
      <w:r>
        <w:rPr>
          <w:rFonts w:ascii="宋体" w:eastAsia="宋体" w:hAnsi="宋体" w:cs="宋体" w:hint="eastAsia"/>
          <w:color w:val="000000"/>
          <w:sz w:val="24"/>
          <w:szCs w:val="24"/>
        </w:rPr>
        <w:t>×</w:t>
      </w:r>
      <w:r>
        <w:rPr>
          <w:rFonts w:ascii="宋体" w:eastAsia="宋体" w:hAnsi="宋体" w:cs="宋体" w:hint="eastAsia"/>
          <w:color w:val="000000"/>
          <w:sz w:val="24"/>
          <w:szCs w:val="24"/>
        </w:rPr>
        <w:t xml:space="preserve">24 </w:t>
      </w:r>
      <w:r>
        <w:rPr>
          <w:rFonts w:ascii="宋体" w:eastAsia="宋体" w:hAnsi="宋体" w:cs="宋体" w:hint="eastAsia"/>
          <w:color w:val="000000"/>
          <w:sz w:val="24"/>
          <w:szCs w:val="24"/>
        </w:rPr>
        <w:t>小时技术支持（电话</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远程</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现场），一般故障</w:t>
      </w:r>
      <w:r>
        <w:rPr>
          <w:rFonts w:ascii="宋体" w:eastAsia="宋体" w:hAnsi="宋体" w:cs="宋体" w:hint="eastAsia"/>
          <w:color w:val="000000"/>
          <w:sz w:val="24"/>
          <w:szCs w:val="24"/>
        </w:rPr>
        <w:t xml:space="preserve"> 2 </w:t>
      </w:r>
      <w:r>
        <w:rPr>
          <w:rFonts w:ascii="宋体" w:eastAsia="宋体" w:hAnsi="宋体" w:cs="宋体" w:hint="eastAsia"/>
          <w:color w:val="000000"/>
          <w:sz w:val="24"/>
          <w:szCs w:val="24"/>
        </w:rPr>
        <w:t>小时内响应，重大故障</w:t>
      </w:r>
      <w:r>
        <w:rPr>
          <w:rFonts w:ascii="宋体" w:eastAsia="宋体" w:hAnsi="宋体" w:cs="宋体" w:hint="eastAsia"/>
          <w:color w:val="000000"/>
          <w:sz w:val="24"/>
          <w:szCs w:val="24"/>
        </w:rPr>
        <w:t xml:space="preserve"> 4 </w:t>
      </w:r>
      <w:r>
        <w:rPr>
          <w:rFonts w:ascii="宋体" w:eastAsia="宋体" w:hAnsi="宋体" w:cs="宋体" w:hint="eastAsia"/>
          <w:color w:val="000000"/>
          <w:sz w:val="24"/>
          <w:szCs w:val="24"/>
        </w:rPr>
        <w:t>小时内现场上门处理；预警</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私域系统故障专属支持（预警失效</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私域对接异常立即优先处理）；</w:t>
      </w:r>
    </w:p>
    <w:p w:rsidR="007E18F5" w:rsidRDefault="00992935">
      <w:pPr>
        <w:keepNext/>
        <w:keepLines/>
        <w:numPr>
          <w:ilvl w:val="0"/>
          <w:numId w:val="8"/>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免费升级：维保期内提供系统软件、</w:t>
      </w:r>
      <w:r>
        <w:rPr>
          <w:rFonts w:ascii="宋体" w:eastAsia="宋体" w:hAnsi="宋体" w:cs="宋体" w:hint="eastAsia"/>
          <w:color w:val="000000"/>
          <w:sz w:val="24"/>
          <w:szCs w:val="24"/>
        </w:rPr>
        <w:t xml:space="preserve">AI </w:t>
      </w:r>
      <w:r>
        <w:rPr>
          <w:rFonts w:ascii="宋体" w:eastAsia="宋体" w:hAnsi="宋体" w:cs="宋体" w:hint="eastAsia"/>
          <w:color w:val="000000"/>
          <w:sz w:val="24"/>
          <w:szCs w:val="24"/>
        </w:rPr>
        <w:t>模型、知识库</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方案库、预警规则库、私域运营库免费升级迭代，包含临床指南、疾控数据、私域运营需求最新更新；</w:t>
      </w:r>
    </w:p>
    <w:p w:rsidR="007E18F5" w:rsidRDefault="00992935">
      <w:pPr>
        <w:keepNext/>
        <w:keepLines/>
        <w:numPr>
          <w:ilvl w:val="0"/>
          <w:numId w:val="8"/>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定制化培训：提供线下</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线上结合的定制化培训，覆盖管理员、医生、护士、私域运营、接待专员等所有角色，配套培训手册、操作视频；新增预警系统</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私域运营</w:t>
      </w:r>
      <w:r>
        <w:rPr>
          <w:rFonts w:ascii="宋体" w:eastAsia="宋体" w:hAnsi="宋体" w:cs="宋体" w:hint="eastAsia"/>
          <w:color w:val="000000"/>
          <w:sz w:val="24"/>
          <w:szCs w:val="24"/>
        </w:rPr>
        <w:t xml:space="preserve"> + </w:t>
      </w:r>
      <w:r>
        <w:rPr>
          <w:rFonts w:ascii="宋体" w:eastAsia="宋体" w:hAnsi="宋体" w:cs="宋体" w:hint="eastAsia"/>
          <w:color w:val="000000"/>
          <w:sz w:val="24"/>
          <w:szCs w:val="24"/>
        </w:rPr>
        <w:t>客户接</w:t>
      </w:r>
      <w:r>
        <w:rPr>
          <w:rStyle w:val="a8"/>
          <w:rFonts w:ascii="宋体" w:eastAsia="宋体" w:hAnsi="宋体" w:cs="宋体" w:hint="eastAsia"/>
          <w:bCs/>
          <w:color w:val="000000"/>
          <w:sz w:val="24"/>
          <w:szCs w:val="24"/>
        </w:rPr>
        <w:t>待专项培训</w:t>
      </w:r>
      <w:r>
        <w:rPr>
          <w:rFonts w:ascii="宋体" w:eastAsia="宋体" w:hAnsi="宋体" w:cs="宋体" w:hint="eastAsia"/>
          <w:color w:val="000000"/>
          <w:sz w:val="24"/>
          <w:szCs w:val="24"/>
        </w:rPr>
        <w:t>（规则配置、预警处理、私域客户管理、接待流程标准化）；</w:t>
      </w:r>
    </w:p>
    <w:p w:rsidR="007E18F5" w:rsidRDefault="00992935">
      <w:pPr>
        <w:keepNext/>
        <w:keepLines/>
        <w:numPr>
          <w:ilvl w:val="0"/>
          <w:numId w:val="8"/>
        </w:numPr>
        <w:wordWrap w:val="0"/>
        <w:spacing w:line="400" w:lineRule="exact"/>
        <w:ind w:left="0"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终身服务：出保后提供有偿终身技术支持与维保服务，收费标准清晰透明、阶梯式，无隐形消费，响应时效与维保期一</w:t>
      </w:r>
      <w:r>
        <w:rPr>
          <w:rFonts w:ascii="宋体" w:eastAsia="宋体" w:hAnsi="宋体" w:cs="宋体" w:hint="eastAsia"/>
          <w:color w:val="000000"/>
          <w:sz w:val="24"/>
          <w:szCs w:val="24"/>
        </w:rPr>
        <w:t>致；</w:t>
      </w:r>
    </w:p>
    <w:p w:rsidR="007E18F5" w:rsidRDefault="00992935">
      <w:pPr>
        <w:keepNext/>
        <w:keepLines/>
        <w:numPr>
          <w:ilvl w:val="0"/>
          <w:numId w:val="8"/>
        </w:numPr>
        <w:wordWrap w:val="0"/>
        <w:spacing w:line="400" w:lineRule="exact"/>
        <w:ind w:left="0" w:firstLineChars="200" w:firstLine="480"/>
        <w:jc w:val="left"/>
        <w:rPr>
          <w:rFonts w:ascii="宋体" w:eastAsia="宋体" w:hAnsi="宋体" w:cs="宋体"/>
        </w:rPr>
      </w:pPr>
      <w:r>
        <w:rPr>
          <w:rFonts w:ascii="宋体" w:eastAsia="宋体" w:hAnsi="宋体" w:cs="宋体" w:hint="eastAsia"/>
          <w:color w:val="000000"/>
          <w:sz w:val="24"/>
          <w:szCs w:val="24"/>
        </w:rPr>
        <w:t>现场驻场：系统上线后提供</w:t>
      </w:r>
      <w:r>
        <w:rPr>
          <w:rStyle w:val="a8"/>
          <w:rFonts w:ascii="宋体" w:eastAsia="宋体" w:hAnsi="宋体" w:cs="宋体" w:hint="eastAsia"/>
          <w:bCs/>
          <w:color w:val="000000"/>
          <w:sz w:val="24"/>
          <w:szCs w:val="24"/>
        </w:rPr>
        <w:t xml:space="preserve">1 </w:t>
      </w:r>
      <w:r>
        <w:rPr>
          <w:rStyle w:val="a8"/>
          <w:rFonts w:ascii="宋体" w:eastAsia="宋体" w:hAnsi="宋体" w:cs="宋体" w:hint="eastAsia"/>
          <w:bCs/>
          <w:color w:val="000000"/>
          <w:sz w:val="24"/>
          <w:szCs w:val="24"/>
        </w:rPr>
        <w:t>年以上</w:t>
      </w:r>
      <w:r>
        <w:rPr>
          <w:rFonts w:ascii="宋体" w:eastAsia="宋体" w:hAnsi="宋体" w:cs="宋体" w:hint="eastAsia"/>
          <w:color w:val="000000"/>
          <w:sz w:val="24"/>
          <w:szCs w:val="24"/>
        </w:rPr>
        <w:t>现场驻场支持，及时解决上线初期各类问题，重点保障预警系统、私域对接、客户接待流程正常运行，确保系统平稳落地。</w:t>
      </w:r>
    </w:p>
    <w:sectPr w:rsidR="007E18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35" w:rsidRDefault="00992935">
      <w:pPr>
        <w:spacing w:line="240" w:lineRule="auto"/>
      </w:pPr>
      <w:r>
        <w:separator/>
      </w:r>
    </w:p>
  </w:endnote>
  <w:endnote w:type="continuationSeparator" w:id="0">
    <w:p w:rsidR="00992935" w:rsidRDefault="00992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278E6E8-4821-4CE5-BBA1-9EB89F530F9A}"/>
    <w:embedBold r:id="rId2" w:subsetted="1" w:fontKey="{F4C85CE4-1097-4BC6-8782-2D61480EC371}"/>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embedRegular r:id="rId3" w:subsetted="1" w:fontKey="{EF834413-CCA5-4783-B3D2-0E4D5D8DDD38}"/>
  </w:font>
  <w:font w:name="华文仿宋">
    <w:altName w:val="仿宋"/>
    <w:panose1 w:val="02010600040101010101"/>
    <w:charset w:val="86"/>
    <w:family w:val="auto"/>
    <w:pitch w:val="variable"/>
    <w:sig w:usb0="00000287" w:usb1="080F0000" w:usb2="00000010" w:usb3="00000000" w:csb0="0004009F" w:csb1="00000000"/>
    <w:embedBold r:id="rId4" w:subsetted="1" w:fontKey="{A4064FC9-C017-49C8-B42F-541BC55591D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8F5" w:rsidRDefault="0099293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E18F5" w:rsidRDefault="00992935">
                          <w:pPr>
                            <w:pStyle w:val="a3"/>
                          </w:pPr>
                          <w:r>
                            <w:fldChar w:fldCharType="begin"/>
                          </w:r>
                          <w:r>
                            <w:instrText xml:space="preserve"> PAGE  \* MERGEFORMAT </w:instrText>
                          </w:r>
                          <w:r>
                            <w:fldChar w:fldCharType="separate"/>
                          </w:r>
                          <w:r w:rsidR="00CE094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E18F5" w:rsidRDefault="00992935">
                    <w:pPr>
                      <w:pStyle w:val="a3"/>
                    </w:pPr>
                    <w:r>
                      <w:fldChar w:fldCharType="begin"/>
                    </w:r>
                    <w:r>
                      <w:instrText xml:space="preserve"> PAGE  \* MERGEFORMAT </w:instrText>
                    </w:r>
                    <w:r>
                      <w:fldChar w:fldCharType="separate"/>
                    </w:r>
                    <w:r w:rsidR="00CE094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35" w:rsidRDefault="00992935">
      <w:r>
        <w:separator/>
      </w:r>
    </w:p>
  </w:footnote>
  <w:footnote w:type="continuationSeparator" w:id="0">
    <w:p w:rsidR="00992935" w:rsidRDefault="0099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09F393"/>
    <w:multiLevelType w:val="singleLevel"/>
    <w:tmpl w:val="8909F393"/>
    <w:lvl w:ilvl="0">
      <w:start w:val="1"/>
      <w:numFmt w:val="chineseCounting"/>
      <w:suff w:val="nothing"/>
      <w:lvlText w:val="（%1）"/>
      <w:lvlJc w:val="left"/>
      <w:rPr>
        <w:rFonts w:hint="eastAsia"/>
      </w:rPr>
    </w:lvl>
  </w:abstractNum>
  <w:abstractNum w:abstractNumId="1" w15:restartNumberingAfterBreak="0">
    <w:nsid w:val="892619C6"/>
    <w:multiLevelType w:val="singleLevel"/>
    <w:tmpl w:val="892619C6"/>
    <w:lvl w:ilvl="0">
      <w:start w:val="1"/>
      <w:numFmt w:val="chineseCounting"/>
      <w:suff w:val="nothing"/>
      <w:lvlText w:val="%1、"/>
      <w:lvlJc w:val="left"/>
      <w:rPr>
        <w:rFonts w:hint="eastAsia"/>
      </w:rPr>
    </w:lvl>
  </w:abstractNum>
  <w:abstractNum w:abstractNumId="2" w15:restartNumberingAfterBreak="0">
    <w:nsid w:val="9374C8F7"/>
    <w:multiLevelType w:val="multilevel"/>
    <w:tmpl w:val="9374C8F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BD9A6F90"/>
    <w:multiLevelType w:val="multilevel"/>
    <w:tmpl w:val="BD9A6F9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CE18501D"/>
    <w:multiLevelType w:val="multilevel"/>
    <w:tmpl w:val="CE18501D"/>
    <w:lvl w:ilvl="0">
      <w:start w:val="1"/>
      <w:numFmt w:val="chineseCounting"/>
      <w:suff w:val="space"/>
      <w:lvlText w:val="第%1章"/>
      <w:lvlJc w:val="left"/>
      <w:pPr>
        <w:tabs>
          <w:tab w:val="left" w:pos="0"/>
        </w:tabs>
        <w:ind w:left="0" w:firstLine="0"/>
      </w:pPr>
      <w:rPr>
        <w:rFonts w:ascii="黑体" w:eastAsia="黑体" w:hAnsi="黑体" w:cs="黑体" w:hint="eastAsia"/>
        <w:b w:val="0"/>
        <w:bCs/>
        <w:i w:val="0"/>
        <w:sz w:val="44"/>
        <w:szCs w:val="44"/>
      </w:rPr>
    </w:lvl>
    <w:lvl w:ilvl="1">
      <w:start w:val="1"/>
      <w:numFmt w:val="decimal"/>
      <w:pStyle w:val="2"/>
      <w:isLgl/>
      <w:suff w:val="space"/>
      <w:lvlText w:val="%1.%2"/>
      <w:lvlJc w:val="left"/>
      <w:pPr>
        <w:tabs>
          <w:tab w:val="left" w:pos="0"/>
        </w:tabs>
        <w:ind w:left="0" w:firstLine="0"/>
      </w:pPr>
      <w:rPr>
        <w:rFonts w:ascii="黑体" w:eastAsia="黑体" w:hAnsi="黑体" w:cs="黑体" w:hint="eastAsia"/>
        <w:b w:val="0"/>
        <w:i w:val="0"/>
        <w:sz w:val="32"/>
        <w:szCs w:val="32"/>
      </w:rPr>
    </w:lvl>
    <w:lvl w:ilvl="2">
      <w:start w:val="1"/>
      <w:numFmt w:val="decimal"/>
      <w:pStyle w:val="3"/>
      <w:isLgl/>
      <w:suff w:val="space"/>
      <w:lvlText w:val="%1.%2.%3"/>
      <w:lvlJc w:val="left"/>
      <w:pPr>
        <w:ind w:left="0" w:firstLine="0"/>
      </w:pPr>
      <w:rPr>
        <w:rFonts w:ascii="黑体" w:eastAsia="黑体" w:hAnsi="黑体" w:cs="黑体" w:hint="eastAsia"/>
        <w:sz w:val="32"/>
        <w:szCs w:val="32"/>
      </w:rPr>
    </w:lvl>
    <w:lvl w:ilvl="3">
      <w:start w:val="1"/>
      <w:numFmt w:val="decimal"/>
      <w:pStyle w:val="4"/>
      <w:isLgl/>
      <w:suff w:val="space"/>
      <w:lvlText w:val="%1.%2.%3.%4"/>
      <w:lvlJc w:val="left"/>
      <w:pPr>
        <w:tabs>
          <w:tab w:val="left" w:pos="0"/>
        </w:tabs>
        <w:ind w:left="0" w:firstLine="0"/>
      </w:pPr>
      <w:rPr>
        <w:rFonts w:ascii="黑体" w:eastAsia="黑体" w:hAnsi="黑体" w:cs="黑体" w:hint="eastAsia"/>
        <w:sz w:val="32"/>
        <w:szCs w:val="32"/>
      </w:rPr>
    </w:lvl>
    <w:lvl w:ilvl="4">
      <w:start w:val="1"/>
      <w:numFmt w:val="decimal"/>
      <w:pStyle w:val="5"/>
      <w:isLgl/>
      <w:suff w:val="space"/>
      <w:lvlText w:val="%1.%2.%3.%4.%5"/>
      <w:lvlJc w:val="left"/>
      <w:pPr>
        <w:tabs>
          <w:tab w:val="left" w:pos="0"/>
        </w:tabs>
        <w:ind w:left="0" w:firstLine="0"/>
      </w:pPr>
      <w:rPr>
        <w:rFonts w:ascii="黑体" w:eastAsia="黑体" w:hAnsi="黑体" w:cs="黑体" w:hint="eastAsia"/>
        <w:sz w:val="32"/>
        <w:szCs w:val="32"/>
      </w:rPr>
    </w:lvl>
    <w:lvl w:ilvl="5">
      <w:start w:val="1"/>
      <w:numFmt w:val="decimal"/>
      <w:isLgl/>
      <w:suff w:val="space"/>
      <w:lvlText w:val="%1.%2.%3.%4.%5.%6"/>
      <w:lvlJc w:val="left"/>
      <w:pPr>
        <w:tabs>
          <w:tab w:val="left" w:pos="0"/>
        </w:tabs>
        <w:ind w:left="0" w:firstLine="0"/>
      </w:pPr>
      <w:rPr>
        <w:rFonts w:ascii="黑体" w:eastAsia="黑体" w:hAnsi="黑体" w:cs="黑体" w:hint="eastAsia"/>
        <w:sz w:val="32"/>
        <w:szCs w:val="32"/>
      </w:rPr>
    </w:lvl>
    <w:lvl w:ilvl="6">
      <w:start w:val="1"/>
      <w:numFmt w:val="decimal"/>
      <w:isLgl/>
      <w:suff w:val="space"/>
      <w:lvlText w:val="%1.%2.%3.%4.%5.%6.%7"/>
      <w:lvlJc w:val="left"/>
      <w:pPr>
        <w:ind w:left="0" w:firstLine="0"/>
      </w:pPr>
      <w:rPr>
        <w:rFonts w:ascii="宋体" w:eastAsia="宋体" w:hAnsi="宋体" w:cs="宋体" w:hint="eastAsia"/>
      </w:rPr>
    </w:lvl>
    <w:lvl w:ilvl="7">
      <w:start w:val="1"/>
      <w:numFmt w:val="decimal"/>
      <w:isLgl/>
      <w:suff w:val="space"/>
      <w:lvlText w:val="%1.%2.%3.%4.%5.%6.%7.%8"/>
      <w:lvlJc w:val="left"/>
      <w:pPr>
        <w:ind w:left="0" w:firstLine="0"/>
      </w:pPr>
      <w:rPr>
        <w:rFonts w:ascii="宋体" w:eastAsia="宋体" w:hAnsi="宋体" w:cs="宋体" w:hint="eastAsia"/>
      </w:rPr>
    </w:lvl>
    <w:lvl w:ilvl="8">
      <w:start w:val="1"/>
      <w:numFmt w:val="decimal"/>
      <w:isLgl/>
      <w:suff w:val="space"/>
      <w:lvlText w:val="%1.%2.%3.%4.%5.%6.%7.%8.%9"/>
      <w:lvlJc w:val="left"/>
      <w:pPr>
        <w:ind w:left="0" w:firstLine="0"/>
      </w:pPr>
      <w:rPr>
        <w:rFonts w:ascii="宋体" w:eastAsia="宋体" w:hAnsi="宋体" w:cs="宋体" w:hint="eastAsia"/>
      </w:rPr>
    </w:lvl>
  </w:abstractNum>
  <w:abstractNum w:abstractNumId="5" w15:restartNumberingAfterBreak="0">
    <w:nsid w:val="067FA345"/>
    <w:multiLevelType w:val="singleLevel"/>
    <w:tmpl w:val="067FA345"/>
    <w:lvl w:ilvl="0">
      <w:start w:val="2"/>
      <w:numFmt w:val="chineseCounting"/>
      <w:suff w:val="nothing"/>
      <w:lvlText w:val="（%1）"/>
      <w:lvlJc w:val="left"/>
      <w:rPr>
        <w:rFonts w:hint="eastAsia"/>
      </w:rPr>
    </w:lvl>
  </w:abstractNum>
  <w:abstractNum w:abstractNumId="6" w15:restartNumberingAfterBreak="0">
    <w:nsid w:val="2D125346"/>
    <w:multiLevelType w:val="multilevel"/>
    <w:tmpl w:val="2D125346"/>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208472E"/>
    <w:multiLevelType w:val="multilevel"/>
    <w:tmpl w:val="6208472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6"/>
  </w:num>
  <w:num w:numId="2">
    <w:abstractNumId w:val="4"/>
  </w:num>
  <w:num w:numId="3">
    <w:abstractNumId w:val="1"/>
  </w:num>
  <w:num w:numId="4">
    <w:abstractNumId w:val="5"/>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42"/>
    <w:rsid w:val="000E6421"/>
    <w:rsid w:val="005A7844"/>
    <w:rsid w:val="00710D57"/>
    <w:rsid w:val="007E18F5"/>
    <w:rsid w:val="008F3308"/>
    <w:rsid w:val="00992935"/>
    <w:rsid w:val="009A0842"/>
    <w:rsid w:val="00B23C69"/>
    <w:rsid w:val="00CC4759"/>
    <w:rsid w:val="00CE0944"/>
    <w:rsid w:val="01565013"/>
    <w:rsid w:val="0919213E"/>
    <w:rsid w:val="0B973E91"/>
    <w:rsid w:val="0D4234FE"/>
    <w:rsid w:val="14107EB2"/>
    <w:rsid w:val="1B3426A6"/>
    <w:rsid w:val="1C984EE8"/>
    <w:rsid w:val="1F1879DF"/>
    <w:rsid w:val="209F6845"/>
    <w:rsid w:val="286E70AC"/>
    <w:rsid w:val="295D54F0"/>
    <w:rsid w:val="296626C7"/>
    <w:rsid w:val="2E0B2B5A"/>
    <w:rsid w:val="2E105B97"/>
    <w:rsid w:val="3BC01FB5"/>
    <w:rsid w:val="40F956A6"/>
    <w:rsid w:val="55F04E72"/>
    <w:rsid w:val="5BAF2ACB"/>
    <w:rsid w:val="606207BF"/>
    <w:rsid w:val="62BD348D"/>
    <w:rsid w:val="68D777CC"/>
    <w:rsid w:val="69600BC9"/>
    <w:rsid w:val="6C3A59CF"/>
    <w:rsid w:val="7243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ADF11D-D7B9-4D83-B66C-3D707002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heme="minorHAnsi" w:eastAsia="华文仿宋" w:hAnsiTheme="minorHAnsi" w:cstheme="minorBidi"/>
      <w:kern w:val="2"/>
      <w:sz w:val="28"/>
      <w:szCs w:val="22"/>
    </w:rPr>
  </w:style>
  <w:style w:type="paragraph" w:styleId="1">
    <w:name w:val="heading 1"/>
    <w:basedOn w:val="a"/>
    <w:next w:val="a"/>
    <w:link w:val="10"/>
    <w:uiPriority w:val="9"/>
    <w:qFormat/>
    <w:pPr>
      <w:keepNext/>
      <w:keepLines/>
      <w:numPr>
        <w:numId w:val="1"/>
      </w:numPr>
      <w:outlineLvl w:val="0"/>
    </w:pPr>
    <w:rPr>
      <w:b/>
      <w:bCs/>
      <w:kern w:val="44"/>
      <w:szCs w:val="44"/>
    </w:rPr>
  </w:style>
  <w:style w:type="paragraph" w:styleId="2">
    <w:name w:val="heading 2"/>
    <w:basedOn w:val="a"/>
    <w:next w:val="a"/>
    <w:unhideWhenUsed/>
    <w:qFormat/>
    <w:pPr>
      <w:numPr>
        <w:ilvl w:val="1"/>
        <w:numId w:val="2"/>
      </w:numPr>
      <w:outlineLvl w:val="1"/>
    </w:pPr>
    <w:rPr>
      <w:rFonts w:ascii="黑体" w:eastAsia="黑体" w:hAnsi="黑体"/>
      <w:sz w:val="32"/>
    </w:rPr>
  </w:style>
  <w:style w:type="paragraph" w:styleId="3">
    <w:name w:val="heading 3"/>
    <w:basedOn w:val="a"/>
    <w:next w:val="a"/>
    <w:unhideWhenUsed/>
    <w:qFormat/>
    <w:pPr>
      <w:numPr>
        <w:ilvl w:val="2"/>
        <w:numId w:val="2"/>
      </w:numPr>
      <w:outlineLvl w:val="2"/>
    </w:pPr>
    <w:rPr>
      <w:rFonts w:ascii="黑体" w:eastAsia="黑体" w:hAnsi="黑体"/>
      <w:sz w:val="32"/>
    </w:rPr>
  </w:style>
  <w:style w:type="paragraph" w:styleId="4">
    <w:name w:val="heading 4"/>
    <w:basedOn w:val="a"/>
    <w:next w:val="a"/>
    <w:unhideWhenUsed/>
    <w:qFormat/>
    <w:pPr>
      <w:numPr>
        <w:ilvl w:val="3"/>
        <w:numId w:val="2"/>
      </w:numPr>
      <w:outlineLvl w:val="3"/>
    </w:pPr>
    <w:rPr>
      <w:rFonts w:ascii="黑体" w:eastAsia="黑体" w:hAnsi="黑体"/>
      <w:sz w:val="32"/>
    </w:rPr>
  </w:style>
  <w:style w:type="paragraph" w:styleId="5">
    <w:name w:val="heading 5"/>
    <w:basedOn w:val="a"/>
    <w:next w:val="a"/>
    <w:unhideWhenUsed/>
    <w:qFormat/>
    <w:pPr>
      <w:numPr>
        <w:ilvl w:val="4"/>
        <w:numId w:val="2"/>
      </w:numPr>
      <w:outlineLvl w:val="4"/>
    </w:pPr>
    <w:rPr>
      <w:rFonts w:ascii="黑体" w:eastAsia="黑体" w:hAnsi="黑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rPr>
      <w:sz w:val="24"/>
    </w:rPr>
  </w:style>
  <w:style w:type="character" w:styleId="a8">
    <w:name w:val="Strong"/>
    <w:basedOn w:val="a0"/>
    <w:qFormat/>
    <w:rPr>
      <w:b/>
    </w:rPr>
  </w:style>
  <w:style w:type="character" w:customStyle="1" w:styleId="10">
    <w:name w:val="标题 1 字符"/>
    <w:basedOn w:val="a0"/>
    <w:link w:val="1"/>
    <w:uiPriority w:val="9"/>
    <w:qFormat/>
    <w:rPr>
      <w:rFonts w:eastAsia="华文仿宋"/>
      <w:b/>
      <w:bCs/>
      <w:kern w:val="44"/>
      <w:sz w:val="28"/>
      <w:szCs w:val="44"/>
    </w:rPr>
  </w:style>
  <w:style w:type="character" w:customStyle="1" w:styleId="a6">
    <w:name w:val="页眉 字符"/>
    <w:basedOn w:val="a0"/>
    <w:link w:val="a5"/>
    <w:uiPriority w:val="99"/>
    <w:qFormat/>
    <w:rPr>
      <w:rFonts w:eastAsia="华文仿宋"/>
      <w:sz w:val="18"/>
      <w:szCs w:val="18"/>
    </w:rPr>
  </w:style>
  <w:style w:type="character" w:customStyle="1" w:styleId="a4">
    <w:name w:val="页脚 字符"/>
    <w:basedOn w:val="a0"/>
    <w:link w:val="a3"/>
    <w:uiPriority w:val="99"/>
    <w:qFormat/>
    <w:rPr>
      <w:rFonts w:eastAsia="华文仿宋"/>
      <w:sz w:val="18"/>
      <w:szCs w:val="18"/>
    </w:rPr>
  </w:style>
  <w:style w:type="paragraph" w:styleId="a9">
    <w:name w:val="List Paragraph"/>
    <w:basedOn w:val="a"/>
    <w:uiPriority w:val="99"/>
    <w:qFormat/>
    <w:pPr>
      <w:ind w:firstLine="420"/>
    </w:pPr>
  </w:style>
  <w:style w:type="paragraph" w:customStyle="1" w:styleId="aa">
    <w:name w:val="图注表注"/>
    <w:next w:val="a"/>
    <w:uiPriority w:val="9"/>
    <w:qFormat/>
    <w:pPr>
      <w:spacing w:line="360" w:lineRule="auto"/>
      <w:jc w:val="center"/>
    </w:pPr>
    <w:rPr>
      <w:rFonts w:ascii="黑体" w:eastAsia="黑体" w:hAnsi="黑体"/>
      <w:b/>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finaxlu</dc:creator>
  <cp:lastModifiedBy>admin</cp:lastModifiedBy>
  <cp:revision>3</cp:revision>
  <cp:lastPrinted>2026-03-17T08:35:00Z</cp:lastPrinted>
  <dcterms:created xsi:type="dcterms:W3CDTF">2022-03-18T03:03:00Z</dcterms:created>
  <dcterms:modified xsi:type="dcterms:W3CDTF">2026-03-18T09:11:00Z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eyJoZGlkIjoiNjUxMzRmYTZkMWY4OGNiNTVjOGM5YTIxODcxMTZlN2YiLCJ1c2VySWQiOiI3MDIwMTc2NDQifQ==</vt:lpwstr>
  </property>
  <property fmtid="{D5CDD505-2E9C-101B-9397-08002B2CF9AE}" pid="3" name="KSOProductBuildVer">
    <vt:lpwstr>2052-12.1.0.25225</vt:lpwstr>
  </property>
  <property fmtid="{D5CDD505-2E9C-101B-9397-08002B2CF9AE}" pid="4" name="ICV">
    <vt:lpwstr>46DBCAF81FE94092A7AB27AA0D76F04C_13</vt:lpwstr>
  </property>
</Properties>
</file>