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0BFE7">
      <w:pPr>
        <w:spacing w:line="560" w:lineRule="exact"/>
        <w:jc w:val="center"/>
        <w:rPr>
          <w:rFonts w:hint="eastAsia" w:ascii="黑体" w:hAnsi="黑体" w:eastAsia="黑体" w:cs="黑体"/>
          <w:b/>
          <w:bCs/>
          <w:sz w:val="44"/>
          <w:szCs w:val="44"/>
        </w:rPr>
      </w:pPr>
      <w:r>
        <w:rPr>
          <w:rFonts w:hint="eastAsia" w:ascii="黑体" w:hAnsi="黑体" w:eastAsia="黑体" w:cs="黑体"/>
          <w:b/>
          <w:bCs/>
          <w:sz w:val="44"/>
          <w:szCs w:val="44"/>
        </w:rPr>
        <w:t>中山大学附属第一医院广西医院</w:t>
      </w:r>
    </w:p>
    <w:p w14:paraId="27D4541C">
      <w:pPr>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机房硬件扩容项目</w:t>
      </w:r>
      <w:r>
        <w:rPr>
          <w:rFonts w:hint="eastAsia" w:ascii="黑体" w:hAnsi="黑体" w:eastAsia="黑体" w:cs="黑体"/>
          <w:b/>
          <w:bCs/>
          <w:sz w:val="44"/>
          <w:szCs w:val="44"/>
        </w:rPr>
        <w:t>政府采购需求调查</w:t>
      </w:r>
      <w:r>
        <w:rPr>
          <w:rFonts w:hint="eastAsia" w:ascii="黑体" w:hAnsi="黑体" w:eastAsia="黑体" w:cs="黑体"/>
          <w:b/>
          <w:bCs/>
          <w:sz w:val="44"/>
          <w:szCs w:val="44"/>
          <w:lang w:val="en-US" w:eastAsia="zh-CN"/>
        </w:rPr>
        <w:t>及</w:t>
      </w:r>
    </w:p>
    <w:p w14:paraId="4B8ECDDE">
      <w:pPr>
        <w:spacing w:line="560" w:lineRule="exact"/>
        <w:jc w:val="center"/>
        <w:rPr>
          <w:rFonts w:hint="eastAsia" w:ascii="黑体" w:hAnsi="黑体" w:eastAsia="黑体" w:cs="黑体"/>
          <w:b/>
          <w:bCs/>
          <w:sz w:val="44"/>
          <w:szCs w:val="44"/>
        </w:rPr>
      </w:pPr>
      <w:r>
        <w:rPr>
          <w:rFonts w:hint="eastAsia" w:ascii="黑体" w:hAnsi="黑体" w:eastAsia="黑体" w:cs="黑体"/>
          <w:b/>
          <w:bCs/>
          <w:sz w:val="44"/>
          <w:szCs w:val="44"/>
          <w:lang w:val="en-US" w:eastAsia="zh-CN"/>
        </w:rPr>
        <w:t>市场调研参数</w:t>
      </w:r>
    </w:p>
    <w:p w14:paraId="407CAC65">
      <w:pPr>
        <w:rPr>
          <w:b/>
          <w:bCs/>
          <w:sz w:val="28"/>
          <w:szCs w:val="28"/>
        </w:rPr>
      </w:pPr>
    </w:p>
    <w:p w14:paraId="09EE6401">
      <w:pPr>
        <w:numPr>
          <w:ilvl w:val="0"/>
          <w:numId w:val="1"/>
        </w:num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系统概况</w:t>
      </w:r>
    </w:p>
    <w:p w14:paraId="197F2E84">
      <w:pPr>
        <w:widowControl/>
        <w:kinsoku w:val="0"/>
        <w:autoSpaceDE w:val="0"/>
        <w:autoSpaceDN w:val="0"/>
        <w:adjustRightInd w:val="0"/>
        <w:snapToGrid w:val="0"/>
        <w:spacing w:line="560" w:lineRule="exact"/>
        <w:ind w:firstLine="560" w:firstLineChars="200"/>
        <w:jc w:val="left"/>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（一）调研单位：中山大学附属第一医院广西医院</w:t>
      </w:r>
    </w:p>
    <w:p w14:paraId="3F28419D">
      <w:pPr>
        <w:widowControl/>
        <w:kinsoku w:val="0"/>
        <w:autoSpaceDE w:val="0"/>
        <w:autoSpaceDN w:val="0"/>
        <w:adjustRightInd w:val="0"/>
        <w:snapToGrid w:val="0"/>
        <w:spacing w:line="560" w:lineRule="exact"/>
        <w:ind w:firstLine="560" w:firstLineChars="200"/>
        <w:jc w:val="left"/>
        <w:textAlignment w:val="baseline"/>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（二）系统名称：</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机房硬件扩容</w:t>
      </w:r>
    </w:p>
    <w:p w14:paraId="0669FEB4">
      <w:pPr>
        <w:widowControl/>
        <w:kinsoku w:val="0"/>
        <w:autoSpaceDE w:val="0"/>
        <w:autoSpaceDN w:val="0"/>
        <w:adjustRightInd w:val="0"/>
        <w:snapToGrid w:val="0"/>
        <w:spacing w:line="560" w:lineRule="exact"/>
        <w:ind w:firstLine="560" w:firstLineChars="200"/>
        <w:jc w:val="left"/>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（三）系统地点：广西壮族自治区南宁市青秀区佛子岭路3号</w:t>
      </w:r>
    </w:p>
    <w:p w14:paraId="2E915D5A">
      <w:pPr>
        <w:numPr>
          <w:ilvl w:val="0"/>
          <w:numId w:val="1"/>
        </w:num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资质要求</w:t>
      </w:r>
    </w:p>
    <w:p w14:paraId="19B714E6">
      <w:pPr>
        <w:widowControl/>
        <w:kinsoku w:val="0"/>
        <w:autoSpaceDE w:val="0"/>
        <w:autoSpaceDN w:val="0"/>
        <w:adjustRightInd w:val="0"/>
        <w:snapToGrid w:val="0"/>
        <w:spacing w:line="560" w:lineRule="exact"/>
        <w:ind w:firstLine="560" w:firstLineChars="200"/>
        <w:jc w:val="left"/>
        <w:textAlignment w:val="baseline"/>
        <w:rPr>
          <w:rFonts w:hint="default" w:ascii="仿宋_GB2312" w:hAnsi="仿宋_GB2312" w:eastAsia="仿宋_GB2312" w:cs="仿宋_GB2312"/>
          <w:color w:val="000000" w:themeColor="text1"/>
          <w:sz w:val="28"/>
          <w:szCs w:val="28"/>
          <w:lang w:val="en-US" w:eastAsia="zh-CN"/>
          <w14:textFill>
            <w14:solidFill>
              <w14:schemeClr w14:val="tx1"/>
            </w14:solidFill>
          </w14:textFill>
        </w:rPr>
      </w:pPr>
      <w:bookmarkStart w:id="0" w:name="_GoBack"/>
      <w:r>
        <w:rPr>
          <w:rFonts w:hint="eastAsia" w:ascii="仿宋_GB2312" w:hAnsi="仿宋_GB2312" w:eastAsia="仿宋_GB2312" w:cs="仿宋_GB2312"/>
          <w:color w:val="000000" w:themeColor="text1"/>
          <w:sz w:val="28"/>
          <w:szCs w:val="28"/>
          <w14:textFill>
            <w14:solidFill>
              <w14:schemeClr w14:val="tx1"/>
            </w14:solidFill>
          </w14:textFill>
        </w:rPr>
        <w:t>（一）具有国内独立法人资格，注册经营范围满足本项目内容的供应商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其中，报名项目1、2、3、5需为</w:t>
      </w:r>
      <w:r>
        <w:rPr>
          <w:rFonts w:hint="eastAsia" w:ascii="仿宋_GB2312" w:hAnsi="仿宋_GB2312" w:eastAsia="仿宋_GB2312" w:cs="仿宋_GB2312"/>
          <w:sz w:val="28"/>
          <w:szCs w:val="28"/>
          <w:lang w:val="en-US" w:eastAsia="zh-CN"/>
        </w:rPr>
        <w:t>广西壮族自治区政府采购云平台电子卖场的供应商。</w:t>
      </w:r>
    </w:p>
    <w:p w14:paraId="1FA96ECF">
      <w:pPr>
        <w:widowControl/>
        <w:kinsoku w:val="0"/>
        <w:autoSpaceDE w:val="0"/>
        <w:autoSpaceDN w:val="0"/>
        <w:adjustRightInd w:val="0"/>
        <w:snapToGrid w:val="0"/>
        <w:spacing w:line="560" w:lineRule="exact"/>
        <w:ind w:firstLine="560" w:firstLineChars="200"/>
        <w:jc w:val="left"/>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对在“信用中国”网（www.creditchina.gov.cn）、中国政府采购网（www.ccgp.gov.cn）等渠道列入失信被执行人、重大税收违法案件当事人名单、政府采购严重违法失信行为记录名单及其他不符合《中华人民共和国政府采购法》第二十二条规定条件的供应商，拒绝参与本项目活动（提供网页查询截图并加盖公章）。</w:t>
      </w:r>
    </w:p>
    <w:p w14:paraId="6F7D62D1">
      <w:pPr>
        <w:widowControl/>
        <w:kinsoku w:val="0"/>
        <w:autoSpaceDE w:val="0"/>
        <w:autoSpaceDN w:val="0"/>
        <w:adjustRightInd w:val="0"/>
        <w:snapToGrid w:val="0"/>
        <w:spacing w:line="560" w:lineRule="exact"/>
        <w:ind w:firstLine="560" w:firstLineChars="200"/>
        <w:jc w:val="left"/>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（三）本项目不接受联合体报名。</w:t>
      </w:r>
    </w:p>
    <w:bookmarkEnd w:id="0"/>
    <w:p w14:paraId="169F34F6">
      <w:pPr>
        <w:numPr>
          <w:ilvl w:val="0"/>
          <w:numId w:val="1"/>
        </w:numPr>
        <w:spacing w:line="560" w:lineRule="exact"/>
        <w:ind w:firstLine="562"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sz w:val="28"/>
          <w:szCs w:val="28"/>
        </w:rPr>
        <w:t>需求描述</w:t>
      </w:r>
    </w:p>
    <w:p w14:paraId="1E352454">
      <w:pPr>
        <w:numPr>
          <w:ilvl w:val="-1"/>
          <w:numId w:val="0"/>
        </w:numPr>
        <w:spacing w:line="560" w:lineRule="exact"/>
        <w:ind w:leftChars="200" w:firstLine="840" w:firstLineChars="3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项目清单（以下项目按分项报名）</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报名需满足分项中每一个项目内容需求。</w:t>
      </w:r>
    </w:p>
    <w:tbl>
      <w:tblPr>
        <w:tblStyle w:val="18"/>
        <w:tblpPr w:leftFromText="180" w:rightFromText="180" w:vertAnchor="text" w:horzAnchor="page" w:tblpX="1802" w:tblpY="553"/>
        <w:tblOverlap w:val="never"/>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824"/>
        <w:gridCol w:w="946"/>
        <w:gridCol w:w="618"/>
        <w:gridCol w:w="5726"/>
      </w:tblGrid>
      <w:tr w14:paraId="1608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021B13D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t>分项</w:t>
            </w:r>
          </w:p>
        </w:tc>
        <w:tc>
          <w:tcPr>
            <w:tcW w:w="824" w:type="dxa"/>
            <w:vAlign w:val="center"/>
          </w:tcPr>
          <w:p w14:paraId="04A84C5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t>项目</w:t>
            </w:r>
          </w:p>
          <w:p w14:paraId="331F53F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t>名称</w:t>
            </w:r>
          </w:p>
        </w:tc>
        <w:tc>
          <w:tcPr>
            <w:tcW w:w="946" w:type="dxa"/>
            <w:vAlign w:val="center"/>
          </w:tcPr>
          <w:p w14:paraId="0867211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t>内容</w:t>
            </w:r>
          </w:p>
          <w:p w14:paraId="252ACB2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t>需求</w:t>
            </w:r>
          </w:p>
        </w:tc>
        <w:tc>
          <w:tcPr>
            <w:tcW w:w="618" w:type="dxa"/>
            <w:vAlign w:val="center"/>
          </w:tcPr>
          <w:p w14:paraId="5BC1A2B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t>数量</w:t>
            </w:r>
          </w:p>
        </w:tc>
        <w:tc>
          <w:tcPr>
            <w:tcW w:w="5726" w:type="dxa"/>
            <w:vAlign w:val="center"/>
          </w:tcPr>
          <w:p w14:paraId="3DCF13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t>需求描述</w:t>
            </w:r>
          </w:p>
        </w:tc>
      </w:tr>
      <w:tr w14:paraId="5D34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25DFA13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p w14:paraId="26CE75F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p>
        </w:tc>
        <w:tc>
          <w:tcPr>
            <w:tcW w:w="824" w:type="dxa"/>
            <w:vAlign w:val="center"/>
          </w:tcPr>
          <w:p w14:paraId="55E23C2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AI算力平台</w:t>
            </w:r>
          </w:p>
        </w:tc>
        <w:tc>
          <w:tcPr>
            <w:tcW w:w="946" w:type="dxa"/>
            <w:vAlign w:val="center"/>
          </w:tcPr>
          <w:p w14:paraId="4FDC99D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AI算力平台</w:t>
            </w:r>
          </w:p>
        </w:tc>
        <w:tc>
          <w:tcPr>
            <w:tcW w:w="618" w:type="dxa"/>
            <w:vAlign w:val="center"/>
          </w:tcPr>
          <w:p w14:paraId="236B2B2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1套</w:t>
            </w:r>
          </w:p>
        </w:tc>
        <w:tc>
          <w:tcPr>
            <w:tcW w:w="5726" w:type="dxa"/>
          </w:tcPr>
          <w:p w14:paraId="1999D21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总体要求：CPU:192核、内存：512G、数据盘：7.68T NvMe SSD</w:t>
            </w:r>
          </w:p>
          <w:p w14:paraId="48A6BAA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详细要求：</w:t>
            </w:r>
          </w:p>
          <w:p w14:paraId="70CDC29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1、处理器:性能不低于4*鲲鹏920处理器(48Core,2.6GHz)，NPU:性能不低于8*昇腾910B(280TFLOPSFP16/64GB HBM显存）；</w:t>
            </w:r>
          </w:p>
          <w:p w14:paraId="2B6D5E8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2、内存≥512GB，内存支持≥32个DIMI插槽，最大支</w:t>
            </w:r>
            <w:r>
              <w:rPr>
                <w:rFonts w:hint="eastAsia" w:ascii="仿宋_GB2312" w:hAnsi="仿宋_GB2312" w:eastAsia="仿宋_GB2312" w:cs="仿宋_GB2312"/>
                <w:color w:val="auto"/>
                <w:sz w:val="21"/>
                <w:szCs w:val="21"/>
                <w:vertAlign w:val="baseline"/>
                <w:lang w:val="en-US" w:eastAsia="zh-CN"/>
              </w:rPr>
              <w:t>持</w:t>
            </w:r>
            <w:r>
              <w:rPr>
                <w:rFonts w:hint="eastAsia" w:ascii="仿宋_GB2312" w:hAnsi="仿宋_GB2312" w:eastAsia="仿宋_GB2312" w:cs="仿宋_GB2312"/>
                <w:color w:val="auto"/>
                <w:sz w:val="21"/>
                <w:szCs w:val="21"/>
                <w:vertAlign w:val="baseline"/>
              </w:rPr>
              <w:t>3200MHzRECC DDR4内存，最大容量≥2TB；</w:t>
            </w:r>
          </w:p>
          <w:p w14:paraId="3EA443C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3、系统硬盘≥ 2*960G SSD；数据盘≥2*3.84TB NVME SSD硬；</w:t>
            </w:r>
          </w:p>
          <w:p w14:paraId="4CBDED1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4、配置阵列:可选配阵列卡，支持掉电保护和带外管理功能；</w:t>
            </w:r>
          </w:p>
          <w:p w14:paraId="025BD28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6、网络I/0:≥4*GE电口；≥4*25GE光口；≥2*200GE ROCE高速接口(含光模块)；</w:t>
            </w:r>
          </w:p>
          <w:p w14:paraId="334C916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7、电源:4*2600W高效节能服务器冗余电源；</w:t>
            </w:r>
          </w:p>
          <w:p w14:paraId="33974A5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8、含大模型管理平台、大模型部署服务；</w:t>
            </w:r>
          </w:p>
          <w:p w14:paraId="6A853B5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9、提供≥3年维保。</w:t>
            </w:r>
          </w:p>
        </w:tc>
      </w:tr>
      <w:tr w14:paraId="7708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14:paraId="23E490F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824" w:type="dxa"/>
            <w:vMerge w:val="restart"/>
            <w:shd w:val="clear" w:color="auto" w:fill="auto"/>
            <w:vAlign w:val="center"/>
          </w:tcPr>
          <w:p w14:paraId="451AB335">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集成平台超融合系统</w:t>
            </w:r>
          </w:p>
        </w:tc>
        <w:tc>
          <w:tcPr>
            <w:tcW w:w="946" w:type="dxa"/>
            <w:shd w:val="clear" w:color="auto" w:fill="auto"/>
            <w:vAlign w:val="center"/>
          </w:tcPr>
          <w:p w14:paraId="5BC69B1E">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集成平台超融合一体机</w:t>
            </w:r>
          </w:p>
        </w:tc>
        <w:tc>
          <w:tcPr>
            <w:tcW w:w="618" w:type="dxa"/>
            <w:vAlign w:val="center"/>
          </w:tcPr>
          <w:p w14:paraId="7F92212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5台</w:t>
            </w:r>
          </w:p>
        </w:tc>
        <w:tc>
          <w:tcPr>
            <w:tcW w:w="5726" w:type="dxa"/>
            <w:shd w:val="clear" w:color="auto" w:fill="auto"/>
            <w:vAlign w:val="center"/>
          </w:tcPr>
          <w:p w14:paraId="1F9CC3EB">
            <w:pPr>
              <w:keepNext w:val="0"/>
              <w:keepLines w:val="0"/>
              <w:pageBreakBefore w:val="0"/>
              <w:widowControl/>
              <w:suppressLineNumbers w:val="0"/>
              <w:wordWrap/>
              <w:overflowPunct/>
              <w:topLinePunct w:val="0"/>
              <w:bidi w:val="0"/>
              <w:spacing w:line="240" w:lineRule="auto"/>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1、规格：2U机架式超融合一体机，国产品牌，要求非OEM产品，配套计算、存储、网络虚拟化软件授权；</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2、处理器：配置2颗C86处理器，每颗CPU主频≥2.1GHz、内核数≥64核；</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3、内存：单条内存≥64GB，配置16条内存，≥24条扩展插槽；</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4、硬盘：系统盘≥2块480G SSD固态硬盘，SSD数据盘≥6块7.68T SSD固态硬盘；</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5、RAID功能：配置 RAID卡，支持raid0,1,直通等；</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6、网卡：板载≥4个千兆网口，配置1个独享的管理端口；配置2块10GE双端口万兆网卡；</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7、配件：免工具上架导轨；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8、电源：电源输出功率≥1200W 1+1冗余电源；</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9、提供≥3年维保服务。</w:t>
            </w:r>
          </w:p>
        </w:tc>
      </w:tr>
      <w:tr w14:paraId="5DB8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4D16372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rPr>
            </w:pPr>
          </w:p>
        </w:tc>
        <w:tc>
          <w:tcPr>
            <w:tcW w:w="824" w:type="dxa"/>
            <w:vMerge w:val="continue"/>
            <w:shd w:val="clear" w:color="auto" w:fill="auto"/>
            <w:vAlign w:val="center"/>
          </w:tcPr>
          <w:p w14:paraId="07CF66B3">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946" w:type="dxa"/>
            <w:shd w:val="clear" w:color="auto" w:fill="auto"/>
            <w:vAlign w:val="center"/>
          </w:tcPr>
          <w:p w14:paraId="5097C2A6">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超融合存储交换机</w:t>
            </w:r>
          </w:p>
        </w:tc>
        <w:tc>
          <w:tcPr>
            <w:tcW w:w="618" w:type="dxa"/>
            <w:vAlign w:val="center"/>
          </w:tcPr>
          <w:p w14:paraId="0D15731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2台</w:t>
            </w:r>
          </w:p>
        </w:tc>
        <w:tc>
          <w:tcPr>
            <w:tcW w:w="5726" w:type="dxa"/>
            <w:shd w:val="clear" w:color="auto" w:fill="auto"/>
            <w:vAlign w:val="center"/>
          </w:tcPr>
          <w:p w14:paraId="13FCB319">
            <w:pPr>
              <w:keepNext w:val="0"/>
              <w:keepLines w:val="0"/>
              <w:pageBreakBefore w:val="0"/>
              <w:widowControl/>
              <w:suppressLineNumbers w:val="0"/>
              <w:wordWrap/>
              <w:overflowPunct/>
              <w:topLinePunct w:val="0"/>
              <w:bidi w:val="0"/>
              <w:spacing w:line="240" w:lineRule="auto"/>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1、万兆SFP+光口≥24个（满配万兆光模块），Console口≥1个；</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2、支持MAC地址≥32K，支持MAC地址自动学习、源MAC地址过滤、接口MAC地址学习个数限制；</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3、支持STP、RSTP、MSTP防环协议；</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4、支持DHCP Snooping，可将交换机端口设置为信任端口或非信任端口，非信任端口也可设置白名单响应DHCP报文；</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5、支持防网关ARP欺骗，支持端口保护、隔离，支持防止DOS、ARP攻击功能，支持CPU保护功能；</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6、提供≥3年维保服务。</w:t>
            </w:r>
          </w:p>
        </w:tc>
      </w:tr>
      <w:tr w14:paraId="6B08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0539CEE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c>
          <w:tcPr>
            <w:tcW w:w="824" w:type="dxa"/>
            <w:vMerge w:val="continue"/>
            <w:vAlign w:val="center"/>
          </w:tcPr>
          <w:p w14:paraId="10FA273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c>
          <w:tcPr>
            <w:tcW w:w="946" w:type="dxa"/>
            <w:vAlign w:val="center"/>
          </w:tcPr>
          <w:p w14:paraId="781139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超融合业务交换机</w:t>
            </w:r>
          </w:p>
        </w:tc>
        <w:tc>
          <w:tcPr>
            <w:tcW w:w="618" w:type="dxa"/>
            <w:vAlign w:val="center"/>
          </w:tcPr>
          <w:p w14:paraId="41B6A1E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2台</w:t>
            </w:r>
          </w:p>
        </w:tc>
        <w:tc>
          <w:tcPr>
            <w:tcW w:w="5726" w:type="dxa"/>
            <w:shd w:val="clear" w:color="auto" w:fill="auto"/>
            <w:vAlign w:val="center"/>
          </w:tcPr>
          <w:p w14:paraId="7EBF72A1">
            <w:pPr>
              <w:keepNext w:val="0"/>
              <w:keepLines w:val="0"/>
              <w:pageBreakBefore w:val="0"/>
              <w:widowControl/>
              <w:suppressLineNumbers w:val="0"/>
              <w:wordWrap/>
              <w:overflowPunct/>
              <w:topLinePunct w:val="0"/>
              <w:bidi w:val="0"/>
              <w:spacing w:line="240" w:lineRule="auto"/>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1、万兆SFP+光口≥24个（满配万兆光模块），Console口≥1个；</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2、支持MAC地址≥32K，支持MAC地址自动学习、源MAC地址过滤、接口MAC地址学习个数限制；</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3、支持STP、RSTP、MSTP防环协议；</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4、支持DHCP Snooping，可将交换机端口设置为信任端口或非信任端口，非信任端口也可设置白名单响应DHCP报文；</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5、支持防网关ARP欺骗，支持端口保护、隔离，支持防止DOS、ARP攻击功能，支持CPU保护功能；</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6、提供≥3年维保服务。</w:t>
            </w:r>
          </w:p>
        </w:tc>
      </w:tr>
      <w:tr w14:paraId="5A9E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14:paraId="5522E77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w:t>
            </w:r>
          </w:p>
        </w:tc>
        <w:tc>
          <w:tcPr>
            <w:tcW w:w="824" w:type="dxa"/>
            <w:vMerge w:val="restart"/>
            <w:vAlign w:val="center"/>
          </w:tcPr>
          <w:p w14:paraId="1AA0806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前置机</w:t>
            </w:r>
            <w:r>
              <w:rPr>
                <w:rFonts w:hint="eastAsia" w:ascii="仿宋_GB2312" w:hAnsi="仿宋_GB2312" w:eastAsia="仿宋_GB2312" w:cs="仿宋_GB2312"/>
                <w:color w:val="auto"/>
                <w:sz w:val="21"/>
                <w:szCs w:val="21"/>
              </w:rPr>
              <w:t>超融合系统</w:t>
            </w:r>
          </w:p>
        </w:tc>
        <w:tc>
          <w:tcPr>
            <w:tcW w:w="946" w:type="dxa"/>
            <w:vAlign w:val="center"/>
          </w:tcPr>
          <w:p w14:paraId="00E5ABF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前置超融合一体机资源扩容</w:t>
            </w:r>
          </w:p>
        </w:tc>
        <w:tc>
          <w:tcPr>
            <w:tcW w:w="618" w:type="dxa"/>
            <w:vAlign w:val="center"/>
          </w:tcPr>
          <w:p w14:paraId="22CAE91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3台</w:t>
            </w:r>
          </w:p>
        </w:tc>
        <w:tc>
          <w:tcPr>
            <w:tcW w:w="5726" w:type="dxa"/>
            <w:shd w:val="clear" w:color="auto" w:fill="auto"/>
            <w:vAlign w:val="center"/>
          </w:tcPr>
          <w:p w14:paraId="472E3C61">
            <w:pPr>
              <w:keepNext w:val="0"/>
              <w:keepLines w:val="0"/>
              <w:pageBreakBefore w:val="0"/>
              <w:widowControl/>
              <w:suppressLineNumbers w:val="0"/>
              <w:wordWrap/>
              <w:overflowPunct/>
              <w:topLinePunct w:val="0"/>
              <w:bidi w:val="0"/>
              <w:spacing w:line="240" w:lineRule="auto"/>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1、规格：2U机架式超融合一体机，国产品牌，要求非OEM产品，配套计算、存储、网络虚拟化软件授权；</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2、处理器：配置2颗CPU，每颗CPU主频≥2.1GHz、内核数≥12核；</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3、内存：配置≥128GB；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4、硬盘：系统盘≥2块480G SSD固态硬盘，SSD缓存盘≥1块1.92T SSD，机械数据盘≥4块 6T SATA；</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5、配置 RAID卡：支持直通，raid0,1等；</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6、网卡：板载≥4个千兆网口，配置1个独享的管理端口；配置1块10GE双端口万兆网卡（含万兆多模光模块）；</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7、配件：免工具上架导轨；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8、电源：电源输出功率≥750W 1+1冗余电源；</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9、整机提供≥3年维保服务。</w:t>
            </w:r>
          </w:p>
        </w:tc>
      </w:tr>
      <w:tr w14:paraId="34ED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2F1B141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lang w:val="en-US" w:eastAsia="zh-CN"/>
              </w:rPr>
            </w:pPr>
          </w:p>
        </w:tc>
        <w:tc>
          <w:tcPr>
            <w:tcW w:w="824" w:type="dxa"/>
            <w:vMerge w:val="continue"/>
            <w:shd w:val="clear" w:color="auto" w:fill="auto"/>
            <w:vAlign w:val="center"/>
          </w:tcPr>
          <w:p w14:paraId="5C0F5B29">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946" w:type="dxa"/>
            <w:shd w:val="clear" w:color="auto" w:fill="auto"/>
            <w:vAlign w:val="center"/>
          </w:tcPr>
          <w:p w14:paraId="63DA8FD9">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超融合存储交换机</w:t>
            </w:r>
          </w:p>
        </w:tc>
        <w:tc>
          <w:tcPr>
            <w:tcW w:w="618" w:type="dxa"/>
            <w:vAlign w:val="center"/>
          </w:tcPr>
          <w:p w14:paraId="13071B5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2台</w:t>
            </w:r>
          </w:p>
        </w:tc>
        <w:tc>
          <w:tcPr>
            <w:tcW w:w="5726" w:type="dxa"/>
            <w:shd w:val="clear" w:color="auto" w:fill="auto"/>
            <w:vAlign w:val="center"/>
          </w:tcPr>
          <w:p w14:paraId="0673A71F">
            <w:pPr>
              <w:keepNext w:val="0"/>
              <w:keepLines w:val="0"/>
              <w:pageBreakBefore w:val="0"/>
              <w:widowControl/>
              <w:suppressLineNumbers w:val="0"/>
              <w:wordWrap/>
              <w:overflowPunct/>
              <w:topLinePunct w:val="0"/>
              <w:bidi w:val="0"/>
              <w:spacing w:line="240" w:lineRule="auto"/>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1、万兆SFP+光口≥24个（满配万兆光模块），Console口≥1个；</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2、支持MAC地址≥32K，支持MAC地址自动学习、源MAC地址过滤、接口MAC地址学习个数限制；</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3、支持STP、RSTP、MSTP防环协议；</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4、支持DHCP Snooping，可将交换机端口设置为信任端口或非信任端口，非信任端口也可设置白名单响应DHCP报文；</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5、支持防网关ARP欺骗，支持端口保护、隔离，支持防止DOS、ARP攻击功能，支持CPU保护功能；</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6、提供≥3年维保服务。</w:t>
            </w:r>
          </w:p>
        </w:tc>
      </w:tr>
      <w:tr w14:paraId="178C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43D9B98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lang w:val="en-US" w:eastAsia="zh-CN"/>
              </w:rPr>
            </w:pPr>
          </w:p>
        </w:tc>
        <w:tc>
          <w:tcPr>
            <w:tcW w:w="824" w:type="dxa"/>
            <w:vMerge w:val="continue"/>
            <w:shd w:val="clear" w:color="auto" w:fill="auto"/>
            <w:vAlign w:val="center"/>
          </w:tcPr>
          <w:p w14:paraId="649AB53E">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946" w:type="dxa"/>
            <w:shd w:val="clear" w:color="auto" w:fill="auto"/>
            <w:vAlign w:val="center"/>
          </w:tcPr>
          <w:p w14:paraId="7D58C452">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超融合业务交换机</w:t>
            </w:r>
          </w:p>
        </w:tc>
        <w:tc>
          <w:tcPr>
            <w:tcW w:w="618" w:type="dxa"/>
            <w:vAlign w:val="center"/>
          </w:tcPr>
          <w:p w14:paraId="5F79D4E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2台</w:t>
            </w:r>
          </w:p>
        </w:tc>
        <w:tc>
          <w:tcPr>
            <w:tcW w:w="5726" w:type="dxa"/>
            <w:shd w:val="clear" w:color="auto" w:fill="auto"/>
            <w:vAlign w:val="center"/>
          </w:tcPr>
          <w:p w14:paraId="56D72CE4">
            <w:pPr>
              <w:keepNext w:val="0"/>
              <w:keepLines w:val="0"/>
              <w:pageBreakBefore w:val="0"/>
              <w:widowControl/>
              <w:suppressLineNumbers w:val="0"/>
              <w:wordWrap/>
              <w:overflowPunct/>
              <w:topLinePunct w:val="0"/>
              <w:bidi w:val="0"/>
              <w:spacing w:line="240" w:lineRule="auto"/>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1、可网管12口千兆以太网交换机，提供≥3年维保服务。</w:t>
            </w:r>
          </w:p>
        </w:tc>
      </w:tr>
      <w:tr w14:paraId="7C29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14:paraId="424AE1C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824" w:type="dxa"/>
            <w:vMerge w:val="restart"/>
            <w:shd w:val="clear" w:color="auto" w:fill="auto"/>
            <w:vAlign w:val="center"/>
          </w:tcPr>
          <w:p w14:paraId="45912A77">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云灾备租用服务</w:t>
            </w:r>
          </w:p>
        </w:tc>
        <w:tc>
          <w:tcPr>
            <w:tcW w:w="946" w:type="dxa"/>
            <w:shd w:val="clear" w:color="auto" w:fill="auto"/>
            <w:vAlign w:val="center"/>
          </w:tcPr>
          <w:p w14:paraId="70D63D65">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云灾备资源租用服务</w:t>
            </w:r>
          </w:p>
        </w:tc>
        <w:tc>
          <w:tcPr>
            <w:tcW w:w="618" w:type="dxa"/>
            <w:vAlign w:val="center"/>
          </w:tcPr>
          <w:p w14:paraId="55509E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1年</w:t>
            </w:r>
          </w:p>
        </w:tc>
        <w:tc>
          <w:tcPr>
            <w:tcW w:w="5726" w:type="dxa"/>
            <w:shd w:val="clear" w:color="auto" w:fill="auto"/>
            <w:vAlign w:val="center"/>
          </w:tcPr>
          <w:p w14:paraId="66C8415A">
            <w:pPr>
              <w:keepNext w:val="0"/>
              <w:keepLines w:val="0"/>
              <w:pageBreakBefore w:val="0"/>
              <w:widowControl/>
              <w:suppressLineNumbers w:val="0"/>
              <w:wordWrap/>
              <w:overflowPunct/>
              <w:topLinePunct w:val="0"/>
              <w:bidi w:val="0"/>
              <w:spacing w:line="240" w:lineRule="auto"/>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1、计算资源总数配置不少于256个vCPU、2TB vRAM。</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2、据存储资源配置：高性能存储（SSD硬盘资源）不少于15TB、数据备份用的通用存储不少于30TB，要求支持S3等存储协议。</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3、网络资源配置：各虚拟机之间的网络交互性能不少于千兆vSwitch，承载数据库的虚拟机网络交互性能不少于万兆。</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4、出口网络带宽：应用出口带宽不少于1024Mbps（含固定IP），实现在医院和云平台专线建立IPsec加密隧道。</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5、安全资源配置：所有租用的云资源均须满足三级等保、商密要求，并根据三级等保要求进行租用相关云安全服务，至少包含云防火墙（含IPS功能）、云主机杀毒，性能须满足业务系统需求，安全防护覆盖本项目租用的所有虚拟机；安全资源均具备高可用性，避免单点故障。</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6、上述云资源自“云资源租用服务”验收通过之日起开始计算起租时间，租用时间为1年。</w:t>
            </w:r>
          </w:p>
        </w:tc>
      </w:tr>
      <w:tr w14:paraId="7D4C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2F1AAF5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lang w:val="en-US" w:eastAsia="zh-CN"/>
              </w:rPr>
            </w:pPr>
          </w:p>
        </w:tc>
        <w:tc>
          <w:tcPr>
            <w:tcW w:w="824" w:type="dxa"/>
            <w:vMerge w:val="continue"/>
            <w:shd w:val="clear" w:color="auto" w:fill="auto"/>
            <w:vAlign w:val="center"/>
          </w:tcPr>
          <w:p w14:paraId="7EEE0C82">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946" w:type="dxa"/>
            <w:shd w:val="clear" w:color="auto" w:fill="auto"/>
            <w:vAlign w:val="center"/>
          </w:tcPr>
          <w:p w14:paraId="30577660">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云灾备应用租用服务</w:t>
            </w:r>
          </w:p>
        </w:tc>
        <w:tc>
          <w:tcPr>
            <w:tcW w:w="618" w:type="dxa"/>
            <w:vAlign w:val="center"/>
          </w:tcPr>
          <w:p w14:paraId="206B19B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1年</w:t>
            </w:r>
          </w:p>
        </w:tc>
        <w:tc>
          <w:tcPr>
            <w:tcW w:w="5726" w:type="dxa"/>
            <w:shd w:val="clear" w:color="auto" w:fill="auto"/>
            <w:vAlign w:val="center"/>
          </w:tcPr>
          <w:p w14:paraId="6334D838">
            <w:pPr>
              <w:keepNext w:val="0"/>
              <w:keepLines w:val="0"/>
              <w:pageBreakBefore w:val="0"/>
              <w:widowControl/>
              <w:suppressLineNumbers w:val="0"/>
              <w:wordWrap/>
              <w:overflowPunct/>
              <w:topLinePunct w:val="0"/>
              <w:bidi w:val="0"/>
              <w:spacing w:line="240" w:lineRule="auto"/>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租用云备份应用资源：要求能实现将医院本地现有关键业务数据，通过专线网络安全的备份到云端的存储资源中。当需要数据恢复时，能恢复到云端存储空间或医院本地端指定的存储空间。备份策略支持定时备份、差异备份、备份合成、数据重删（减少存储空间损耗、降低网络消耗）；</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2、租用应急接管应用资源：要求能实现当医院本地端的指定业务系统出现故障时，能自动切换到租用的云资源，尽可能减少人工介入的操作，快速恢复业务系统运行。</w:t>
            </w:r>
          </w:p>
        </w:tc>
      </w:tr>
      <w:tr w14:paraId="5244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7437C50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824" w:type="dxa"/>
            <w:shd w:val="clear" w:color="auto" w:fill="auto"/>
            <w:vAlign w:val="center"/>
          </w:tcPr>
          <w:p w14:paraId="23EBDC28">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服务器密码机</w:t>
            </w:r>
          </w:p>
        </w:tc>
        <w:tc>
          <w:tcPr>
            <w:tcW w:w="946" w:type="dxa"/>
            <w:shd w:val="clear" w:color="auto" w:fill="auto"/>
            <w:vAlign w:val="center"/>
          </w:tcPr>
          <w:p w14:paraId="091E1232">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服务器密码机</w:t>
            </w:r>
          </w:p>
        </w:tc>
        <w:tc>
          <w:tcPr>
            <w:tcW w:w="618" w:type="dxa"/>
            <w:vAlign w:val="center"/>
          </w:tcPr>
          <w:p w14:paraId="3EC32F0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2台</w:t>
            </w:r>
          </w:p>
        </w:tc>
        <w:tc>
          <w:tcPr>
            <w:tcW w:w="5726" w:type="dxa"/>
            <w:shd w:val="clear" w:color="auto" w:fill="auto"/>
            <w:vAlign w:val="center"/>
          </w:tcPr>
          <w:p w14:paraId="1096DF25">
            <w:pPr>
              <w:keepNext w:val="0"/>
              <w:keepLines w:val="0"/>
              <w:pageBreakBefore w:val="0"/>
              <w:widowControl/>
              <w:suppressLineNumbers w:val="0"/>
              <w:wordWrap/>
              <w:overflowPunct/>
              <w:topLinePunct w:val="0"/>
              <w:bidi w:val="0"/>
              <w:spacing w:line="240" w:lineRule="auto"/>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1、要求国产CPU，双电源，支持集群部署。</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2、支持常用加密算法（包括3DES、AES、RSA、SM2、SM3、SM4等密码算法）。</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3、提供国密数据加解密、签名验签、杂凑等密码运算服务，实现数据的机密性、完整性保护。</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4、性能要求：加解密 &gt; 300Mbps,SM2 签名&gt;3000次/秒，验签&gt;1000 次/秒；</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SM2 密钥对产生 1.3万对/秒;SM4加/解密 700Mbps;SM2 签名 3.9万次/秒，验签 1.8 万次/秒。</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5、支持国密证书标准。</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6、产品通过广西全民健康信息平台国产商用密码应用医疗机构端前置密码设备接口对接测试。</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7、产品具备国家密码管理局颁发的商用密码产品认证证书,符合GM/T 0028 《密码模块安全技术要求》第二级及以上要求。</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8、提供≥三年维保服务。</w:t>
            </w:r>
          </w:p>
        </w:tc>
      </w:tr>
    </w:tbl>
    <w:p w14:paraId="0C0E54E8">
      <w:pPr>
        <w:widowControl/>
        <w:kinsoku w:val="0"/>
        <w:autoSpaceDE w:val="0"/>
        <w:autoSpaceDN w:val="0"/>
        <w:adjustRightInd w:val="0"/>
        <w:snapToGrid w:val="0"/>
        <w:spacing w:line="560" w:lineRule="exact"/>
        <w:ind w:firstLine="560" w:firstLineChars="200"/>
        <w:jc w:val="left"/>
        <w:textAlignment w:val="baseline"/>
        <w:rPr>
          <w:rFonts w:hint="eastAsia" w:ascii="仿宋_GB2312" w:hAnsi="仿宋_GB2312" w:eastAsia="仿宋_GB2312" w:cs="仿宋_GB2312"/>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9D8D19-D5D8-409F-AE1E-8B3B1801B9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4B3A7941-AEAC-449D-96A4-D85041719D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C9DD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19461">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F319461">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Mzk1YTExMTY1ZTIxMmU4NjYzYzM2NzdmMjUxZDcifQ=="/>
  </w:docVars>
  <w:rsids>
    <w:rsidRoot w:val="250E2FC7"/>
    <w:rsid w:val="00006BFA"/>
    <w:rsid w:val="000218E3"/>
    <w:rsid w:val="00027D43"/>
    <w:rsid w:val="00031DBD"/>
    <w:rsid w:val="0003308D"/>
    <w:rsid w:val="00041AD0"/>
    <w:rsid w:val="0005437B"/>
    <w:rsid w:val="00082E0E"/>
    <w:rsid w:val="000921A3"/>
    <w:rsid w:val="000978DE"/>
    <w:rsid w:val="000A484E"/>
    <w:rsid w:val="000A5915"/>
    <w:rsid w:val="000C0639"/>
    <w:rsid w:val="000C1173"/>
    <w:rsid w:val="000D3045"/>
    <w:rsid w:val="001145D7"/>
    <w:rsid w:val="0013051F"/>
    <w:rsid w:val="00137812"/>
    <w:rsid w:val="00164C26"/>
    <w:rsid w:val="00184DBD"/>
    <w:rsid w:val="001E2A33"/>
    <w:rsid w:val="001E51C8"/>
    <w:rsid w:val="00201077"/>
    <w:rsid w:val="002110CA"/>
    <w:rsid w:val="00212331"/>
    <w:rsid w:val="002311A5"/>
    <w:rsid w:val="00232CF4"/>
    <w:rsid w:val="002525DE"/>
    <w:rsid w:val="00270050"/>
    <w:rsid w:val="00271764"/>
    <w:rsid w:val="00284357"/>
    <w:rsid w:val="002868AA"/>
    <w:rsid w:val="002A52EE"/>
    <w:rsid w:val="002C4EC9"/>
    <w:rsid w:val="002D7C7C"/>
    <w:rsid w:val="002E3887"/>
    <w:rsid w:val="003039BC"/>
    <w:rsid w:val="00311D1C"/>
    <w:rsid w:val="00355338"/>
    <w:rsid w:val="003617F7"/>
    <w:rsid w:val="00362992"/>
    <w:rsid w:val="00375A69"/>
    <w:rsid w:val="003857A0"/>
    <w:rsid w:val="00387504"/>
    <w:rsid w:val="003C2D70"/>
    <w:rsid w:val="003C36AA"/>
    <w:rsid w:val="003C459D"/>
    <w:rsid w:val="003C7E81"/>
    <w:rsid w:val="003D1D23"/>
    <w:rsid w:val="003D7604"/>
    <w:rsid w:val="0042644D"/>
    <w:rsid w:val="00442EBD"/>
    <w:rsid w:val="00451E54"/>
    <w:rsid w:val="00455610"/>
    <w:rsid w:val="00461111"/>
    <w:rsid w:val="00473841"/>
    <w:rsid w:val="00484ADB"/>
    <w:rsid w:val="00484F7C"/>
    <w:rsid w:val="004851A3"/>
    <w:rsid w:val="004A0A81"/>
    <w:rsid w:val="004A110D"/>
    <w:rsid w:val="004E12EC"/>
    <w:rsid w:val="004E1651"/>
    <w:rsid w:val="004F26EB"/>
    <w:rsid w:val="004F2FE7"/>
    <w:rsid w:val="0056242B"/>
    <w:rsid w:val="00563081"/>
    <w:rsid w:val="00585C2C"/>
    <w:rsid w:val="005867E7"/>
    <w:rsid w:val="00595130"/>
    <w:rsid w:val="00597FA3"/>
    <w:rsid w:val="005A1A68"/>
    <w:rsid w:val="005A35D2"/>
    <w:rsid w:val="005C1200"/>
    <w:rsid w:val="005C6D99"/>
    <w:rsid w:val="005D2DDA"/>
    <w:rsid w:val="005E44E0"/>
    <w:rsid w:val="005E47E7"/>
    <w:rsid w:val="00600612"/>
    <w:rsid w:val="00600A64"/>
    <w:rsid w:val="00613D53"/>
    <w:rsid w:val="00620FE7"/>
    <w:rsid w:val="00621A7A"/>
    <w:rsid w:val="00636D0B"/>
    <w:rsid w:val="00636F9C"/>
    <w:rsid w:val="00642D87"/>
    <w:rsid w:val="0064672C"/>
    <w:rsid w:val="0064793C"/>
    <w:rsid w:val="00652675"/>
    <w:rsid w:val="0066429E"/>
    <w:rsid w:val="00665034"/>
    <w:rsid w:val="00667C61"/>
    <w:rsid w:val="0067550C"/>
    <w:rsid w:val="006A1300"/>
    <w:rsid w:val="006C1375"/>
    <w:rsid w:val="006C1534"/>
    <w:rsid w:val="006C4E44"/>
    <w:rsid w:val="006E1B8A"/>
    <w:rsid w:val="006E2587"/>
    <w:rsid w:val="00736368"/>
    <w:rsid w:val="00740757"/>
    <w:rsid w:val="007432C3"/>
    <w:rsid w:val="00774796"/>
    <w:rsid w:val="00786BAC"/>
    <w:rsid w:val="00796EDA"/>
    <w:rsid w:val="00824B93"/>
    <w:rsid w:val="00831941"/>
    <w:rsid w:val="0083378B"/>
    <w:rsid w:val="00847FE5"/>
    <w:rsid w:val="00851108"/>
    <w:rsid w:val="00852E92"/>
    <w:rsid w:val="00864556"/>
    <w:rsid w:val="0087181C"/>
    <w:rsid w:val="00873529"/>
    <w:rsid w:val="00882599"/>
    <w:rsid w:val="008864EF"/>
    <w:rsid w:val="008A3FCD"/>
    <w:rsid w:val="008F0D3B"/>
    <w:rsid w:val="00935B54"/>
    <w:rsid w:val="00953043"/>
    <w:rsid w:val="009640E7"/>
    <w:rsid w:val="00973EAA"/>
    <w:rsid w:val="009811C7"/>
    <w:rsid w:val="00984BEA"/>
    <w:rsid w:val="009856A3"/>
    <w:rsid w:val="00996EBD"/>
    <w:rsid w:val="00A003A6"/>
    <w:rsid w:val="00A02279"/>
    <w:rsid w:val="00A212BB"/>
    <w:rsid w:val="00A24B49"/>
    <w:rsid w:val="00A2617B"/>
    <w:rsid w:val="00A334F0"/>
    <w:rsid w:val="00A62D0B"/>
    <w:rsid w:val="00A857A1"/>
    <w:rsid w:val="00A86CED"/>
    <w:rsid w:val="00AA1992"/>
    <w:rsid w:val="00AA27D1"/>
    <w:rsid w:val="00AA4F59"/>
    <w:rsid w:val="00AA5775"/>
    <w:rsid w:val="00AC7559"/>
    <w:rsid w:val="00AD211B"/>
    <w:rsid w:val="00AD3A9B"/>
    <w:rsid w:val="00AD3CBB"/>
    <w:rsid w:val="00AD488C"/>
    <w:rsid w:val="00B3004E"/>
    <w:rsid w:val="00B3551D"/>
    <w:rsid w:val="00B36EBB"/>
    <w:rsid w:val="00B61356"/>
    <w:rsid w:val="00B65E30"/>
    <w:rsid w:val="00B7738A"/>
    <w:rsid w:val="00B90908"/>
    <w:rsid w:val="00BB740E"/>
    <w:rsid w:val="00BC4722"/>
    <w:rsid w:val="00BC50FE"/>
    <w:rsid w:val="00BC5F11"/>
    <w:rsid w:val="00BD7270"/>
    <w:rsid w:val="00BD7E5C"/>
    <w:rsid w:val="00BE084A"/>
    <w:rsid w:val="00BE4BA8"/>
    <w:rsid w:val="00BF6C10"/>
    <w:rsid w:val="00C01310"/>
    <w:rsid w:val="00C07725"/>
    <w:rsid w:val="00C110FD"/>
    <w:rsid w:val="00C171B4"/>
    <w:rsid w:val="00C23352"/>
    <w:rsid w:val="00C3240D"/>
    <w:rsid w:val="00C32C51"/>
    <w:rsid w:val="00C80276"/>
    <w:rsid w:val="00C905FA"/>
    <w:rsid w:val="00CA35E2"/>
    <w:rsid w:val="00CB05B2"/>
    <w:rsid w:val="00CB5B61"/>
    <w:rsid w:val="00CC77CA"/>
    <w:rsid w:val="00CF13C5"/>
    <w:rsid w:val="00CF171A"/>
    <w:rsid w:val="00CF56EF"/>
    <w:rsid w:val="00D05E7A"/>
    <w:rsid w:val="00D23FC1"/>
    <w:rsid w:val="00D269D0"/>
    <w:rsid w:val="00D91020"/>
    <w:rsid w:val="00D938F7"/>
    <w:rsid w:val="00D96526"/>
    <w:rsid w:val="00DA4D5B"/>
    <w:rsid w:val="00DE326C"/>
    <w:rsid w:val="00E04400"/>
    <w:rsid w:val="00E6041A"/>
    <w:rsid w:val="00E9354E"/>
    <w:rsid w:val="00E93EA0"/>
    <w:rsid w:val="00E97DF2"/>
    <w:rsid w:val="00EA1E02"/>
    <w:rsid w:val="00EA2B9D"/>
    <w:rsid w:val="00EB750A"/>
    <w:rsid w:val="00EC3357"/>
    <w:rsid w:val="00F015C4"/>
    <w:rsid w:val="00FA6FB1"/>
    <w:rsid w:val="00FB4AE1"/>
    <w:rsid w:val="00FC68DE"/>
    <w:rsid w:val="00FE2EB6"/>
    <w:rsid w:val="00FF6A7F"/>
    <w:rsid w:val="011949CD"/>
    <w:rsid w:val="012F2443"/>
    <w:rsid w:val="013730A5"/>
    <w:rsid w:val="0200481C"/>
    <w:rsid w:val="02553FCA"/>
    <w:rsid w:val="02A429BD"/>
    <w:rsid w:val="02BF15A4"/>
    <w:rsid w:val="02C22C2E"/>
    <w:rsid w:val="02D35034"/>
    <w:rsid w:val="02E160BA"/>
    <w:rsid w:val="034E42C0"/>
    <w:rsid w:val="03546EEA"/>
    <w:rsid w:val="038B088A"/>
    <w:rsid w:val="038C592B"/>
    <w:rsid w:val="03AD5F33"/>
    <w:rsid w:val="03E63D04"/>
    <w:rsid w:val="04245B63"/>
    <w:rsid w:val="05224E91"/>
    <w:rsid w:val="052D4EEB"/>
    <w:rsid w:val="05D15121"/>
    <w:rsid w:val="068B0E42"/>
    <w:rsid w:val="069074E0"/>
    <w:rsid w:val="06B01930"/>
    <w:rsid w:val="06EC66E0"/>
    <w:rsid w:val="07117EF5"/>
    <w:rsid w:val="07195727"/>
    <w:rsid w:val="073E7F19"/>
    <w:rsid w:val="076C35BE"/>
    <w:rsid w:val="076D7821"/>
    <w:rsid w:val="07753730"/>
    <w:rsid w:val="07EB38FC"/>
    <w:rsid w:val="07FD6DF7"/>
    <w:rsid w:val="08122739"/>
    <w:rsid w:val="08666242"/>
    <w:rsid w:val="08793F05"/>
    <w:rsid w:val="08D51B22"/>
    <w:rsid w:val="093305F6"/>
    <w:rsid w:val="093F2ABC"/>
    <w:rsid w:val="09FB55B8"/>
    <w:rsid w:val="0A1E4E03"/>
    <w:rsid w:val="0A3208AE"/>
    <w:rsid w:val="0A58658E"/>
    <w:rsid w:val="0A5D3D18"/>
    <w:rsid w:val="0A7B473D"/>
    <w:rsid w:val="0A7C0731"/>
    <w:rsid w:val="0AA826D6"/>
    <w:rsid w:val="0AD33E3F"/>
    <w:rsid w:val="0AFF4C34"/>
    <w:rsid w:val="0B642CE9"/>
    <w:rsid w:val="0B747091"/>
    <w:rsid w:val="0B867103"/>
    <w:rsid w:val="0B8D0492"/>
    <w:rsid w:val="0BA650B0"/>
    <w:rsid w:val="0BC05ADE"/>
    <w:rsid w:val="0C147037"/>
    <w:rsid w:val="0C197F77"/>
    <w:rsid w:val="0C497634"/>
    <w:rsid w:val="0C98608F"/>
    <w:rsid w:val="0CAF61E6"/>
    <w:rsid w:val="0CBD0903"/>
    <w:rsid w:val="0D8B27AF"/>
    <w:rsid w:val="0E2D3866"/>
    <w:rsid w:val="0E833DCE"/>
    <w:rsid w:val="0EB16245"/>
    <w:rsid w:val="0EB863CE"/>
    <w:rsid w:val="0EE853A0"/>
    <w:rsid w:val="0F331350"/>
    <w:rsid w:val="0F516C13"/>
    <w:rsid w:val="0F582E22"/>
    <w:rsid w:val="0FB93D04"/>
    <w:rsid w:val="0FBC7598"/>
    <w:rsid w:val="0FD119F9"/>
    <w:rsid w:val="0FF22FB9"/>
    <w:rsid w:val="106E25B1"/>
    <w:rsid w:val="107726F1"/>
    <w:rsid w:val="109220A6"/>
    <w:rsid w:val="10A122E9"/>
    <w:rsid w:val="10BD350E"/>
    <w:rsid w:val="10DB1DA4"/>
    <w:rsid w:val="11641DB7"/>
    <w:rsid w:val="11F50B3F"/>
    <w:rsid w:val="11FC011F"/>
    <w:rsid w:val="12274A70"/>
    <w:rsid w:val="12C50511"/>
    <w:rsid w:val="133D7BFB"/>
    <w:rsid w:val="135F6376"/>
    <w:rsid w:val="13E56991"/>
    <w:rsid w:val="14065285"/>
    <w:rsid w:val="14103A0E"/>
    <w:rsid w:val="145667C5"/>
    <w:rsid w:val="14F31658"/>
    <w:rsid w:val="15063063"/>
    <w:rsid w:val="15622156"/>
    <w:rsid w:val="1583513A"/>
    <w:rsid w:val="15981F0D"/>
    <w:rsid w:val="159E5049"/>
    <w:rsid w:val="15AA3754"/>
    <w:rsid w:val="15DF30C0"/>
    <w:rsid w:val="161B48EC"/>
    <w:rsid w:val="163929C3"/>
    <w:rsid w:val="16D056D6"/>
    <w:rsid w:val="17255A22"/>
    <w:rsid w:val="172E1874"/>
    <w:rsid w:val="175D5E07"/>
    <w:rsid w:val="17753CC6"/>
    <w:rsid w:val="178D025C"/>
    <w:rsid w:val="17B44FF8"/>
    <w:rsid w:val="17D969E1"/>
    <w:rsid w:val="17E54065"/>
    <w:rsid w:val="18257506"/>
    <w:rsid w:val="184719C8"/>
    <w:rsid w:val="185630FE"/>
    <w:rsid w:val="185B5474"/>
    <w:rsid w:val="18ED07C2"/>
    <w:rsid w:val="19A52E4A"/>
    <w:rsid w:val="1A4104DB"/>
    <w:rsid w:val="1A4C776A"/>
    <w:rsid w:val="1A5D54D3"/>
    <w:rsid w:val="1A676352"/>
    <w:rsid w:val="1A693E78"/>
    <w:rsid w:val="1AE16870"/>
    <w:rsid w:val="1B2E0C1E"/>
    <w:rsid w:val="1B404AE0"/>
    <w:rsid w:val="1B75654D"/>
    <w:rsid w:val="1BB9574B"/>
    <w:rsid w:val="1BBD37C0"/>
    <w:rsid w:val="1BD23C9F"/>
    <w:rsid w:val="1C694A85"/>
    <w:rsid w:val="1C896A53"/>
    <w:rsid w:val="1D1C3400"/>
    <w:rsid w:val="1D540E0F"/>
    <w:rsid w:val="1DB21FDA"/>
    <w:rsid w:val="1DCF66E8"/>
    <w:rsid w:val="1DED55CE"/>
    <w:rsid w:val="1E6C56B1"/>
    <w:rsid w:val="1ED56B8A"/>
    <w:rsid w:val="1EE91A2B"/>
    <w:rsid w:val="1EEE0DF0"/>
    <w:rsid w:val="1FEE7A64"/>
    <w:rsid w:val="201C7BDE"/>
    <w:rsid w:val="20684BD2"/>
    <w:rsid w:val="206C021E"/>
    <w:rsid w:val="20783C66"/>
    <w:rsid w:val="20C242E2"/>
    <w:rsid w:val="21112ACF"/>
    <w:rsid w:val="214711F8"/>
    <w:rsid w:val="21625F55"/>
    <w:rsid w:val="21976786"/>
    <w:rsid w:val="21F703DC"/>
    <w:rsid w:val="221C3EC6"/>
    <w:rsid w:val="22600256"/>
    <w:rsid w:val="226E2973"/>
    <w:rsid w:val="2271461B"/>
    <w:rsid w:val="22717D6E"/>
    <w:rsid w:val="228026A7"/>
    <w:rsid w:val="22E82531"/>
    <w:rsid w:val="22F51456"/>
    <w:rsid w:val="23983A20"/>
    <w:rsid w:val="239F090A"/>
    <w:rsid w:val="23C6233B"/>
    <w:rsid w:val="24502527"/>
    <w:rsid w:val="249A09DF"/>
    <w:rsid w:val="24B83A8A"/>
    <w:rsid w:val="250E2FC7"/>
    <w:rsid w:val="25D72B4E"/>
    <w:rsid w:val="26123616"/>
    <w:rsid w:val="262D044F"/>
    <w:rsid w:val="269404CF"/>
    <w:rsid w:val="26C802A5"/>
    <w:rsid w:val="26D905D7"/>
    <w:rsid w:val="26D94133"/>
    <w:rsid w:val="270579D8"/>
    <w:rsid w:val="27501A47"/>
    <w:rsid w:val="276854B7"/>
    <w:rsid w:val="27961D58"/>
    <w:rsid w:val="27EF4B6E"/>
    <w:rsid w:val="282C7611"/>
    <w:rsid w:val="286D63F8"/>
    <w:rsid w:val="28864845"/>
    <w:rsid w:val="28ED24D4"/>
    <w:rsid w:val="291C3D7C"/>
    <w:rsid w:val="293164A9"/>
    <w:rsid w:val="29345F99"/>
    <w:rsid w:val="29456BF7"/>
    <w:rsid w:val="294C3EA3"/>
    <w:rsid w:val="295F2681"/>
    <w:rsid w:val="298D0473"/>
    <w:rsid w:val="2A035EBB"/>
    <w:rsid w:val="2A1831C5"/>
    <w:rsid w:val="2A247DBB"/>
    <w:rsid w:val="2A846AAC"/>
    <w:rsid w:val="2AB078A1"/>
    <w:rsid w:val="2ADA1568"/>
    <w:rsid w:val="2ADC2444"/>
    <w:rsid w:val="2AF63459"/>
    <w:rsid w:val="2B6568DD"/>
    <w:rsid w:val="2B754F92"/>
    <w:rsid w:val="2BEE08CD"/>
    <w:rsid w:val="2C3835DF"/>
    <w:rsid w:val="2C8E6C87"/>
    <w:rsid w:val="2C9B7A28"/>
    <w:rsid w:val="2CC66F08"/>
    <w:rsid w:val="2CF41CC7"/>
    <w:rsid w:val="2D173C07"/>
    <w:rsid w:val="2D485B6F"/>
    <w:rsid w:val="2D526B23"/>
    <w:rsid w:val="2E07535D"/>
    <w:rsid w:val="2E304F81"/>
    <w:rsid w:val="2E5D734C"/>
    <w:rsid w:val="2F1A2EE6"/>
    <w:rsid w:val="2FA37B95"/>
    <w:rsid w:val="3014442E"/>
    <w:rsid w:val="305F38FB"/>
    <w:rsid w:val="306635AC"/>
    <w:rsid w:val="30AE6631"/>
    <w:rsid w:val="30DD1462"/>
    <w:rsid w:val="31701B38"/>
    <w:rsid w:val="318F29B2"/>
    <w:rsid w:val="31BD2FCF"/>
    <w:rsid w:val="324E3C27"/>
    <w:rsid w:val="328F5FEE"/>
    <w:rsid w:val="32D257FE"/>
    <w:rsid w:val="333F21A7"/>
    <w:rsid w:val="335A0DFB"/>
    <w:rsid w:val="344418D4"/>
    <w:rsid w:val="344678F3"/>
    <w:rsid w:val="345F4E91"/>
    <w:rsid w:val="34C52339"/>
    <w:rsid w:val="34C72269"/>
    <w:rsid w:val="34CE54F3"/>
    <w:rsid w:val="34DD46B3"/>
    <w:rsid w:val="34F605A6"/>
    <w:rsid w:val="35411821"/>
    <w:rsid w:val="35EF24AB"/>
    <w:rsid w:val="360311CD"/>
    <w:rsid w:val="36814164"/>
    <w:rsid w:val="368220F2"/>
    <w:rsid w:val="368D6CE8"/>
    <w:rsid w:val="36B75CA4"/>
    <w:rsid w:val="37DC7F27"/>
    <w:rsid w:val="384652DA"/>
    <w:rsid w:val="38767769"/>
    <w:rsid w:val="391F631E"/>
    <w:rsid w:val="39967F45"/>
    <w:rsid w:val="39BC6E9D"/>
    <w:rsid w:val="3A141A1A"/>
    <w:rsid w:val="3A3E6C77"/>
    <w:rsid w:val="3A5C35BA"/>
    <w:rsid w:val="3ABA3D4F"/>
    <w:rsid w:val="3ABB2076"/>
    <w:rsid w:val="3B00746F"/>
    <w:rsid w:val="3B60677A"/>
    <w:rsid w:val="3B952CE7"/>
    <w:rsid w:val="3BB645EB"/>
    <w:rsid w:val="3C0A2B23"/>
    <w:rsid w:val="3C125CC6"/>
    <w:rsid w:val="3C61318A"/>
    <w:rsid w:val="3C635D75"/>
    <w:rsid w:val="3CD830BD"/>
    <w:rsid w:val="3DDD0555"/>
    <w:rsid w:val="3DEE5E07"/>
    <w:rsid w:val="3E23202C"/>
    <w:rsid w:val="3E350391"/>
    <w:rsid w:val="3E412892"/>
    <w:rsid w:val="3EE41425"/>
    <w:rsid w:val="3EF1250A"/>
    <w:rsid w:val="3F312EE4"/>
    <w:rsid w:val="3F43263A"/>
    <w:rsid w:val="3F4F4175"/>
    <w:rsid w:val="3F892743"/>
    <w:rsid w:val="40143882"/>
    <w:rsid w:val="406B3BF6"/>
    <w:rsid w:val="40BA692C"/>
    <w:rsid w:val="414C1C7A"/>
    <w:rsid w:val="41574984"/>
    <w:rsid w:val="416F6522"/>
    <w:rsid w:val="41881BF2"/>
    <w:rsid w:val="41BD66D4"/>
    <w:rsid w:val="41CA7043"/>
    <w:rsid w:val="41FC3266"/>
    <w:rsid w:val="423E004C"/>
    <w:rsid w:val="4253528A"/>
    <w:rsid w:val="427A45C5"/>
    <w:rsid w:val="432B3B11"/>
    <w:rsid w:val="4355293C"/>
    <w:rsid w:val="43BC4CB6"/>
    <w:rsid w:val="44054362"/>
    <w:rsid w:val="447F4114"/>
    <w:rsid w:val="452151CC"/>
    <w:rsid w:val="45756F25"/>
    <w:rsid w:val="45806396"/>
    <w:rsid w:val="45917B29"/>
    <w:rsid w:val="45B778DE"/>
    <w:rsid w:val="45CA13BF"/>
    <w:rsid w:val="46014AC2"/>
    <w:rsid w:val="462705C0"/>
    <w:rsid w:val="46312452"/>
    <w:rsid w:val="467E5988"/>
    <w:rsid w:val="46E464B1"/>
    <w:rsid w:val="471844D6"/>
    <w:rsid w:val="47451645"/>
    <w:rsid w:val="47ED24C8"/>
    <w:rsid w:val="4843255F"/>
    <w:rsid w:val="487675DC"/>
    <w:rsid w:val="48EE7ABB"/>
    <w:rsid w:val="490270E5"/>
    <w:rsid w:val="49033F5C"/>
    <w:rsid w:val="49370211"/>
    <w:rsid w:val="4950607F"/>
    <w:rsid w:val="49725FF6"/>
    <w:rsid w:val="49760503"/>
    <w:rsid w:val="499A554C"/>
    <w:rsid w:val="49CA6807"/>
    <w:rsid w:val="49CA7BE0"/>
    <w:rsid w:val="4A3C6604"/>
    <w:rsid w:val="4A3E059D"/>
    <w:rsid w:val="4A4A3635"/>
    <w:rsid w:val="4AC22FAD"/>
    <w:rsid w:val="4AE41175"/>
    <w:rsid w:val="4B7755EC"/>
    <w:rsid w:val="4B850135"/>
    <w:rsid w:val="4BEB0573"/>
    <w:rsid w:val="4BF947AC"/>
    <w:rsid w:val="4C6A56AA"/>
    <w:rsid w:val="4C8F5111"/>
    <w:rsid w:val="4D3A6E57"/>
    <w:rsid w:val="4D502AF2"/>
    <w:rsid w:val="4D73015B"/>
    <w:rsid w:val="4D901F9F"/>
    <w:rsid w:val="4E0F32CE"/>
    <w:rsid w:val="4E720529"/>
    <w:rsid w:val="4EAF55F6"/>
    <w:rsid w:val="4ECB0C82"/>
    <w:rsid w:val="4F204746"/>
    <w:rsid w:val="4F227C49"/>
    <w:rsid w:val="4F7939E0"/>
    <w:rsid w:val="4FA9473B"/>
    <w:rsid w:val="50131BB5"/>
    <w:rsid w:val="503E7E98"/>
    <w:rsid w:val="507C64A1"/>
    <w:rsid w:val="50CE3319"/>
    <w:rsid w:val="50DF1601"/>
    <w:rsid w:val="51161B0F"/>
    <w:rsid w:val="513B781C"/>
    <w:rsid w:val="51556929"/>
    <w:rsid w:val="515C58A2"/>
    <w:rsid w:val="518E3BE9"/>
    <w:rsid w:val="52911BE2"/>
    <w:rsid w:val="52AF3E17"/>
    <w:rsid w:val="52CB2612"/>
    <w:rsid w:val="52ED2B91"/>
    <w:rsid w:val="534A56F4"/>
    <w:rsid w:val="53AB1707"/>
    <w:rsid w:val="53B25189"/>
    <w:rsid w:val="53DB0C3B"/>
    <w:rsid w:val="541B3C32"/>
    <w:rsid w:val="547A4D5D"/>
    <w:rsid w:val="54A83213"/>
    <w:rsid w:val="54DE3429"/>
    <w:rsid w:val="550A7A2A"/>
    <w:rsid w:val="557C6D43"/>
    <w:rsid w:val="55C027DF"/>
    <w:rsid w:val="55EC35D4"/>
    <w:rsid w:val="55EC5D84"/>
    <w:rsid w:val="56292132"/>
    <w:rsid w:val="566E649D"/>
    <w:rsid w:val="56BE6E44"/>
    <w:rsid w:val="5765363E"/>
    <w:rsid w:val="57743881"/>
    <w:rsid w:val="577575E6"/>
    <w:rsid w:val="57917F8F"/>
    <w:rsid w:val="580C4164"/>
    <w:rsid w:val="584B2834"/>
    <w:rsid w:val="58506D3B"/>
    <w:rsid w:val="589F0489"/>
    <w:rsid w:val="58BC728D"/>
    <w:rsid w:val="58E95F87"/>
    <w:rsid w:val="59AE7E14"/>
    <w:rsid w:val="59CA59DA"/>
    <w:rsid w:val="5A117165"/>
    <w:rsid w:val="5A5359CF"/>
    <w:rsid w:val="5B4455B1"/>
    <w:rsid w:val="5B5E63DA"/>
    <w:rsid w:val="5B77749C"/>
    <w:rsid w:val="5BC85F49"/>
    <w:rsid w:val="5C433822"/>
    <w:rsid w:val="5C5060C3"/>
    <w:rsid w:val="5C534E4A"/>
    <w:rsid w:val="5C9207D9"/>
    <w:rsid w:val="5CA644DC"/>
    <w:rsid w:val="5CA70254"/>
    <w:rsid w:val="5D4F6922"/>
    <w:rsid w:val="5DAF5613"/>
    <w:rsid w:val="5DD2630F"/>
    <w:rsid w:val="5DDE1A54"/>
    <w:rsid w:val="5DEA0290"/>
    <w:rsid w:val="5E2B5B01"/>
    <w:rsid w:val="5E3478C6"/>
    <w:rsid w:val="5E431B60"/>
    <w:rsid w:val="5E946D19"/>
    <w:rsid w:val="5ED86344"/>
    <w:rsid w:val="5F3758C0"/>
    <w:rsid w:val="5F42288E"/>
    <w:rsid w:val="5F645F89"/>
    <w:rsid w:val="5FB962D5"/>
    <w:rsid w:val="606C3347"/>
    <w:rsid w:val="609B659B"/>
    <w:rsid w:val="61522693"/>
    <w:rsid w:val="61A67C66"/>
    <w:rsid w:val="61B008AB"/>
    <w:rsid w:val="61DF5D9B"/>
    <w:rsid w:val="61E86918"/>
    <w:rsid w:val="621023F8"/>
    <w:rsid w:val="62753E81"/>
    <w:rsid w:val="62821E71"/>
    <w:rsid w:val="62A639B7"/>
    <w:rsid w:val="62CC342A"/>
    <w:rsid w:val="62ED5AF5"/>
    <w:rsid w:val="62FF4946"/>
    <w:rsid w:val="631411B8"/>
    <w:rsid w:val="633014CD"/>
    <w:rsid w:val="637D7935"/>
    <w:rsid w:val="63B54391"/>
    <w:rsid w:val="64357EF4"/>
    <w:rsid w:val="644204E6"/>
    <w:rsid w:val="648F5856"/>
    <w:rsid w:val="64BD0C9C"/>
    <w:rsid w:val="64D92102"/>
    <w:rsid w:val="64DC75AE"/>
    <w:rsid w:val="64EF417E"/>
    <w:rsid w:val="65136487"/>
    <w:rsid w:val="65287A70"/>
    <w:rsid w:val="652F11A9"/>
    <w:rsid w:val="65731616"/>
    <w:rsid w:val="65C2695D"/>
    <w:rsid w:val="666E1639"/>
    <w:rsid w:val="668E330A"/>
    <w:rsid w:val="66D02156"/>
    <w:rsid w:val="66D734E4"/>
    <w:rsid w:val="6759214B"/>
    <w:rsid w:val="67A23AF2"/>
    <w:rsid w:val="67C03263"/>
    <w:rsid w:val="685C1EF3"/>
    <w:rsid w:val="68A4505F"/>
    <w:rsid w:val="69623539"/>
    <w:rsid w:val="69B7787E"/>
    <w:rsid w:val="6A841BD5"/>
    <w:rsid w:val="6AB778B5"/>
    <w:rsid w:val="6AE85CC0"/>
    <w:rsid w:val="6B3B2294"/>
    <w:rsid w:val="6B7A7898"/>
    <w:rsid w:val="6B8C6F93"/>
    <w:rsid w:val="6BCF6E80"/>
    <w:rsid w:val="6BF15048"/>
    <w:rsid w:val="6D285749"/>
    <w:rsid w:val="6D5E7B9C"/>
    <w:rsid w:val="6DBB590E"/>
    <w:rsid w:val="6DC5678C"/>
    <w:rsid w:val="6ECF78C3"/>
    <w:rsid w:val="6ED0518A"/>
    <w:rsid w:val="6EE92007"/>
    <w:rsid w:val="6F0357BE"/>
    <w:rsid w:val="6F1E24F6"/>
    <w:rsid w:val="6F3141F7"/>
    <w:rsid w:val="6F3C5AED"/>
    <w:rsid w:val="6F983183"/>
    <w:rsid w:val="6FA5677E"/>
    <w:rsid w:val="6FCD36D6"/>
    <w:rsid w:val="6FDB5DF3"/>
    <w:rsid w:val="6FF944CB"/>
    <w:rsid w:val="70C8281B"/>
    <w:rsid w:val="70DB700F"/>
    <w:rsid w:val="71150210"/>
    <w:rsid w:val="713003C1"/>
    <w:rsid w:val="71593474"/>
    <w:rsid w:val="717A163C"/>
    <w:rsid w:val="719E532A"/>
    <w:rsid w:val="72B666A4"/>
    <w:rsid w:val="731A2F1C"/>
    <w:rsid w:val="73A95214"/>
    <w:rsid w:val="73C72E99"/>
    <w:rsid w:val="73CB617F"/>
    <w:rsid w:val="741D7737"/>
    <w:rsid w:val="74732A9E"/>
    <w:rsid w:val="749A44CF"/>
    <w:rsid w:val="749B0247"/>
    <w:rsid w:val="74F57957"/>
    <w:rsid w:val="750741FE"/>
    <w:rsid w:val="754828FC"/>
    <w:rsid w:val="756C5703"/>
    <w:rsid w:val="75742F72"/>
    <w:rsid w:val="75B82733"/>
    <w:rsid w:val="76EE2C2B"/>
    <w:rsid w:val="775B7917"/>
    <w:rsid w:val="781400F4"/>
    <w:rsid w:val="78915BE9"/>
    <w:rsid w:val="78B673FD"/>
    <w:rsid w:val="78CC652A"/>
    <w:rsid w:val="78D60B95"/>
    <w:rsid w:val="78E75809"/>
    <w:rsid w:val="79295E21"/>
    <w:rsid w:val="793547C6"/>
    <w:rsid w:val="79686128"/>
    <w:rsid w:val="79883BFD"/>
    <w:rsid w:val="79CC3315"/>
    <w:rsid w:val="7A0D5743"/>
    <w:rsid w:val="7A170370"/>
    <w:rsid w:val="7A6510DB"/>
    <w:rsid w:val="7A911E17"/>
    <w:rsid w:val="7AA221E5"/>
    <w:rsid w:val="7AA664FD"/>
    <w:rsid w:val="7AB07CD4"/>
    <w:rsid w:val="7AF1296F"/>
    <w:rsid w:val="7B4B7D5D"/>
    <w:rsid w:val="7BE523A9"/>
    <w:rsid w:val="7BF02C26"/>
    <w:rsid w:val="7C385132"/>
    <w:rsid w:val="7C635AEE"/>
    <w:rsid w:val="7CD12A58"/>
    <w:rsid w:val="7D7653AD"/>
    <w:rsid w:val="7D8775BA"/>
    <w:rsid w:val="7DCF1EFA"/>
    <w:rsid w:val="7DFF4A38"/>
    <w:rsid w:val="7E003A70"/>
    <w:rsid w:val="7E064983"/>
    <w:rsid w:val="7E476B1A"/>
    <w:rsid w:val="7E663674"/>
    <w:rsid w:val="7EC97D8B"/>
    <w:rsid w:val="7F09731F"/>
    <w:rsid w:val="7F475253"/>
    <w:rsid w:val="7FB34697"/>
    <w:rsid w:val="7FBA49D6"/>
    <w:rsid w:val="7FCA378E"/>
    <w:rsid w:val="7FF6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spacing w:before="340" w:after="330"/>
      <w:jc w:val="center"/>
      <w:outlineLvl w:val="0"/>
    </w:pPr>
    <w:rPr>
      <w:rFonts w:eastAsia="黑体"/>
      <w:kern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spacing w:before="260" w:after="260"/>
      <w:outlineLvl w:val="2"/>
    </w:pPr>
    <w:rPr>
      <w:rFonts w:ascii="宋体" w:hAnsi="宋体"/>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0"/>
    </w:rPr>
  </w:style>
  <w:style w:type="paragraph" w:styleId="7">
    <w:name w:val="annotation text"/>
    <w:basedOn w:val="1"/>
    <w:link w:val="26"/>
    <w:qFormat/>
    <w:uiPriority w:val="0"/>
    <w:pPr>
      <w:jc w:val="left"/>
    </w:pPr>
  </w:style>
  <w:style w:type="paragraph" w:styleId="8">
    <w:name w:val="Body Text"/>
    <w:basedOn w:val="1"/>
    <w:next w:val="9"/>
    <w:qFormat/>
    <w:uiPriority w:val="0"/>
    <w:pPr>
      <w:spacing w:after="120"/>
    </w:pPr>
  </w:style>
  <w:style w:type="paragraph" w:styleId="9">
    <w:name w:val="Title"/>
    <w:basedOn w:val="1"/>
    <w:next w:val="1"/>
    <w:qFormat/>
    <w:uiPriority w:val="0"/>
    <w:pPr>
      <w:spacing w:before="240" w:after="60"/>
      <w:outlineLvl w:val="0"/>
    </w:pPr>
    <w:rPr>
      <w:rFonts w:ascii="Arial" w:hAnsi="Arial" w:eastAsia="隶书" w:cs="Arial"/>
      <w:b/>
      <w:bCs/>
      <w:sz w:val="32"/>
      <w:szCs w:val="32"/>
    </w:rPr>
  </w:style>
  <w:style w:type="paragraph" w:styleId="10">
    <w:name w:val="Body Text Indent"/>
    <w:basedOn w:val="1"/>
    <w:qFormat/>
    <w:uiPriority w:val="0"/>
    <w:pPr>
      <w:spacing w:line="200" w:lineRule="exact"/>
      <w:ind w:firstLine="301"/>
    </w:pPr>
    <w:rPr>
      <w:spacing w:val="-4"/>
      <w:sz w:val="18"/>
    </w:rPr>
  </w:style>
  <w:style w:type="paragraph" w:styleId="11">
    <w:name w:val="Plain Text"/>
    <w:basedOn w:val="1"/>
    <w:next w:val="5"/>
    <w:qFormat/>
    <w:uiPriority w:val="0"/>
    <w:rPr>
      <w:rFonts w:ascii="宋体" w:hAnsi="Courier New"/>
      <w:kern w:val="0"/>
      <w:sz w:val="20"/>
      <w:szCs w:val="21"/>
    </w:rPr>
  </w:style>
  <w:style w:type="paragraph" w:styleId="12">
    <w:name w:val="Balloon Text"/>
    <w:basedOn w:val="1"/>
    <w:link w:val="25"/>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7"/>
    <w:next w:val="7"/>
    <w:link w:val="27"/>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szCs w:val="21"/>
    </w:rPr>
  </w:style>
  <w:style w:type="paragraph" w:customStyle="1" w:styleId="21">
    <w:name w:val="样式 首行缩进:  2 字符"/>
    <w:basedOn w:val="1"/>
    <w:qFormat/>
    <w:uiPriority w:val="0"/>
    <w:pPr>
      <w:spacing w:line="400" w:lineRule="exact"/>
      <w:ind w:firstLine="200" w:firstLineChars="200"/>
    </w:pPr>
    <w:rPr>
      <w:rFonts w:cs="宋体"/>
      <w:sz w:val="24"/>
    </w:rPr>
  </w:style>
  <w:style w:type="paragraph" w:customStyle="1" w:styleId="22">
    <w:name w:val="Table Text"/>
    <w:basedOn w:val="1"/>
    <w:semiHidden/>
    <w:qFormat/>
    <w:uiPriority w:val="0"/>
    <w:rPr>
      <w:rFonts w:ascii="宋体" w:hAnsi="宋体" w:eastAsia="宋体" w:cs="宋体"/>
      <w:sz w:val="20"/>
      <w:szCs w:val="20"/>
      <w:lang w:eastAsia="en-US"/>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标题 1 字符"/>
    <w:basedOn w:val="19"/>
    <w:link w:val="2"/>
    <w:autoRedefine/>
    <w:qFormat/>
    <w:uiPriority w:val="0"/>
    <w:rPr>
      <w:rFonts w:eastAsia="黑体"/>
      <w:kern w:val="44"/>
      <w:szCs w:val="44"/>
    </w:rPr>
  </w:style>
  <w:style w:type="character" w:customStyle="1" w:styleId="25">
    <w:name w:val="批注框文本 字符"/>
    <w:basedOn w:val="19"/>
    <w:link w:val="12"/>
    <w:qFormat/>
    <w:uiPriority w:val="0"/>
    <w:rPr>
      <w:rFonts w:asciiTheme="minorHAnsi" w:hAnsiTheme="minorHAnsi" w:eastAsiaTheme="minorEastAsia" w:cstheme="minorBidi"/>
      <w:kern w:val="2"/>
      <w:sz w:val="18"/>
      <w:szCs w:val="18"/>
    </w:rPr>
  </w:style>
  <w:style w:type="character" w:customStyle="1" w:styleId="26">
    <w:name w:val="批注文字 字符"/>
    <w:basedOn w:val="19"/>
    <w:link w:val="7"/>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6"/>
    <w:qFormat/>
    <w:uiPriority w:val="0"/>
    <w:rPr>
      <w:rFonts w:asciiTheme="minorHAnsi" w:hAnsiTheme="minorHAnsi" w:eastAsiaTheme="minorEastAsia" w:cstheme="minorBidi"/>
      <w:b/>
      <w:bCs/>
      <w:kern w:val="2"/>
      <w:sz w:val="21"/>
      <w:szCs w:val="24"/>
    </w:rPr>
  </w:style>
  <w:style w:type="paragraph" w:styleId="28">
    <w:name w:val="List Paragraph"/>
    <w:basedOn w:val="1"/>
    <w:qFormat/>
    <w:uiPriority w:val="34"/>
    <w:pPr>
      <w:ind w:firstLine="420" w:firstLineChars="200"/>
    </w:pPr>
    <w:rPr>
      <w:rFonts w:ascii="Times New Roman" w:hAnsi="Times New Roman" w:eastAsia="宋体" w:cs="Times New Roman"/>
    </w:rPr>
  </w:style>
  <w:style w:type="paragraph" w:customStyle="1" w:styleId="2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2565</Words>
  <Characters>3085</Characters>
  <Lines>36</Lines>
  <Paragraphs>25</Paragraphs>
  <TotalTime>8</TotalTime>
  <ScaleCrop>false</ScaleCrop>
  <LinksUpToDate>false</LinksUpToDate>
  <CharactersWithSpaces>3123</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2025-08-13T01:44:00Z</dcterms:created>
  <dc:creator>陌上。</dc:creator>
  <cp:lastModifiedBy>我爱熊猫</cp:lastModifiedBy>
  <cp:lastPrinted>2025-08-21T01:35:00Z</cp:lastPrinted>
  <dcterms:modified xsi:type="dcterms:W3CDTF">2025-08-21T09:35:51Z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AC2AC77BF968410C8721E0B8A768F3D7_13</vt:lpwstr>
  </property>
  <property fmtid="{D5CDD505-2E9C-101B-9397-08002B2CF9AE}" pid="4" name="KSOTemplateDocerSaveRecord">
    <vt:lpwstr>eyJoZGlkIjoiYzRlYzk2ZGE4ZTc3YmQ2YzUwOTE0NThjY2Q0NjA3YjEiLCJ1c2VySWQiOiIyMzc0MzQyMjEifQ==</vt:lpwstr>
  </property>
</Properties>
</file>