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FDD9C">
      <w:pPr>
        <w:spacing w:line="560" w:lineRule="exact"/>
        <w:jc w:val="center"/>
        <w:rPr>
          <w:rFonts w:hint="eastAsia" w:cs="黑体" w:asciiTheme="minorEastAsia" w:hAnsiTheme="minorEastAsia"/>
          <w:b/>
          <w:bCs/>
          <w:sz w:val="44"/>
          <w:szCs w:val="44"/>
        </w:rPr>
      </w:pPr>
      <w:r>
        <w:rPr>
          <w:rFonts w:hint="eastAsia" w:cs="黑体" w:asciiTheme="minorEastAsia" w:hAnsiTheme="minorEastAsia"/>
          <w:b/>
          <w:bCs/>
          <w:sz w:val="44"/>
          <w:szCs w:val="44"/>
        </w:rPr>
        <w:t>中山大学附属第一医院广西医院</w:t>
      </w:r>
    </w:p>
    <w:p w14:paraId="29C0A028">
      <w:pPr>
        <w:spacing w:line="560" w:lineRule="exact"/>
        <w:jc w:val="center"/>
        <w:rPr>
          <w:rFonts w:hint="default" w:cs="黑体" w:asciiTheme="minorEastAsia" w:hAnsiTheme="minorEastAsia"/>
          <w:b/>
          <w:bCs/>
          <w:sz w:val="44"/>
          <w:szCs w:val="44"/>
          <w:lang w:val="en-US"/>
        </w:rPr>
      </w:pPr>
      <w:bookmarkStart w:id="0" w:name="OLE_LINK27"/>
      <w:r>
        <w:rPr>
          <w:rFonts w:hint="eastAsia" w:cs="黑体" w:asciiTheme="minorEastAsia" w:hAnsiTheme="minorEastAsia"/>
          <w:b/>
          <w:bCs/>
          <w:sz w:val="44"/>
          <w:szCs w:val="44"/>
        </w:rPr>
        <w:t>全区电子医疗档案数据院际调阅互认协同</w:t>
      </w:r>
      <w:r>
        <w:rPr>
          <w:rFonts w:hint="eastAsia" w:cs="黑体" w:asciiTheme="minorEastAsia" w:hAnsiTheme="minorEastAsia"/>
          <w:b/>
          <w:bCs/>
          <w:sz w:val="44"/>
          <w:szCs w:val="44"/>
          <w:lang w:val="en-US" w:eastAsia="zh-CN"/>
        </w:rPr>
        <w:t>开发服务市场调研需求</w:t>
      </w:r>
    </w:p>
    <w:bookmarkEnd w:id="0"/>
    <w:p w14:paraId="08CFD236">
      <w:pPr>
        <w:jc w:val="center"/>
        <w:rPr>
          <w:rFonts w:hint="eastAsia" w:cs="黑体" w:asciiTheme="minorEastAsia" w:hAnsiTheme="minorEastAsia"/>
          <w:b/>
          <w:bCs/>
          <w:sz w:val="44"/>
          <w:szCs w:val="44"/>
        </w:rPr>
      </w:pPr>
    </w:p>
    <w:p w14:paraId="28429A3B">
      <w:pPr>
        <w:numPr>
          <w:ilvl w:val="0"/>
          <w:numId w:val="1"/>
        </w:numPr>
        <w:spacing w:line="560" w:lineRule="exact"/>
        <w:ind w:firstLine="482" w:firstLineChars="200"/>
        <w:rPr>
          <w:rFonts w:hint="eastAsia" w:cs="仿宋_GB2312" w:asciiTheme="minorEastAsia" w:hAnsiTheme="minorEastAsia"/>
          <w:b/>
          <w:bCs/>
          <w:sz w:val="24"/>
          <w:szCs w:val="24"/>
        </w:rPr>
      </w:pPr>
      <w:r>
        <w:rPr>
          <w:rFonts w:hint="eastAsia" w:cs="仿宋_GB2312" w:asciiTheme="minorEastAsia" w:hAnsiTheme="minorEastAsia"/>
          <w:b/>
          <w:bCs/>
          <w:sz w:val="24"/>
          <w:szCs w:val="24"/>
        </w:rPr>
        <w:t>项目概况</w:t>
      </w:r>
    </w:p>
    <w:p w14:paraId="2ACB5159">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采购单位：</w:t>
      </w:r>
      <w:bookmarkStart w:id="1" w:name="OLE_LINK21"/>
      <w:r>
        <w:rPr>
          <w:rFonts w:hint="eastAsia" w:cs="仿宋_GB2312" w:asciiTheme="minorEastAsia" w:hAnsiTheme="minorEastAsia"/>
          <w:sz w:val="24"/>
          <w:szCs w:val="24"/>
        </w:rPr>
        <w:t>中山大学附属第一医院广西医院</w:t>
      </w:r>
      <w:bookmarkEnd w:id="1"/>
    </w:p>
    <w:p w14:paraId="11ED54C6">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项目名称：</w:t>
      </w:r>
      <w:bookmarkStart w:id="2" w:name="OLE_LINK19"/>
      <w:r>
        <w:rPr>
          <w:rFonts w:hint="eastAsia" w:cs="微软雅黑" w:asciiTheme="minorEastAsia" w:hAnsiTheme="minorEastAsia"/>
          <w:sz w:val="24"/>
          <w:szCs w:val="24"/>
        </w:rPr>
        <w:t>全区电子医疗档案数据院际调阅互认协同</w:t>
      </w:r>
      <w:bookmarkEnd w:id="2"/>
      <w:r>
        <w:rPr>
          <w:rFonts w:hint="eastAsia" w:cs="微软雅黑" w:asciiTheme="minorEastAsia" w:hAnsiTheme="minorEastAsia"/>
          <w:sz w:val="24"/>
          <w:szCs w:val="24"/>
          <w:lang w:val="en-US" w:eastAsia="zh-CN"/>
        </w:rPr>
        <w:t>开发服务项目</w:t>
      </w:r>
    </w:p>
    <w:p w14:paraId="25FC5959">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项目地点：广西壮族自治区南宁市青秀区佛子岭路3号</w:t>
      </w:r>
    </w:p>
    <w:p w14:paraId="519A190B">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采购预算：</w:t>
      </w:r>
      <w:r>
        <w:rPr>
          <w:rFonts w:hint="eastAsia" w:cs="仿宋_GB2312" w:asciiTheme="minorEastAsia" w:hAnsiTheme="minorEastAsia"/>
          <w:sz w:val="24"/>
          <w:szCs w:val="24"/>
          <w:lang w:val="en-US" w:eastAsia="zh-CN"/>
        </w:rPr>
        <w:t>20</w:t>
      </w:r>
      <w:r>
        <w:rPr>
          <w:rFonts w:hint="eastAsia" w:cs="仿宋_GB2312" w:asciiTheme="minorEastAsia" w:hAnsiTheme="minorEastAsia"/>
          <w:sz w:val="24"/>
          <w:szCs w:val="24"/>
        </w:rPr>
        <w:t>万元</w:t>
      </w:r>
    </w:p>
    <w:p w14:paraId="22ECF976">
      <w:pPr>
        <w:numPr>
          <w:ilvl w:val="0"/>
          <w:numId w:val="2"/>
        </w:numPr>
        <w:spacing w:line="560" w:lineRule="exact"/>
        <w:ind w:firstLine="480" w:firstLineChars="200"/>
        <w:rPr>
          <w:rFonts w:hint="eastAsia" w:cs="仿宋_GB2312" w:asciiTheme="minorEastAsia" w:hAnsiTheme="minorEastAsia"/>
          <w:sz w:val="24"/>
          <w:szCs w:val="24"/>
        </w:rPr>
      </w:pPr>
      <w:r>
        <w:rPr>
          <w:rFonts w:hint="eastAsia" w:cs="仿宋_GB2312" w:asciiTheme="minorEastAsia" w:hAnsiTheme="minorEastAsia"/>
          <w:sz w:val="24"/>
          <w:szCs w:val="24"/>
        </w:rPr>
        <w:t>服务期限：采购合同签订之日起</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0个日历日内完成项目全部建设内容并交付上线。免费质保维护期为验收之日起1年。</w:t>
      </w:r>
    </w:p>
    <w:p w14:paraId="1C8A52EA">
      <w:pPr>
        <w:numPr>
          <w:ilvl w:val="0"/>
          <w:numId w:val="2"/>
        </w:numPr>
        <w:spacing w:line="560" w:lineRule="exact"/>
        <w:ind w:firstLine="480" w:firstLineChars="200"/>
        <w:rPr>
          <w:rFonts w:hint="eastAsia" w:cs="仿宋_GB2312" w:asciiTheme="minorEastAsia" w:hAnsiTheme="minorEastAsia"/>
          <w:sz w:val="24"/>
          <w:szCs w:val="24"/>
        </w:rPr>
      </w:pPr>
      <w:bookmarkStart w:id="3" w:name="OLE_LINK5"/>
      <w:r>
        <w:rPr>
          <w:rFonts w:hint="eastAsia" w:cs="仿宋_GB2312" w:asciiTheme="minorEastAsia" w:hAnsiTheme="minorEastAsia"/>
          <w:sz w:val="24"/>
          <w:szCs w:val="24"/>
        </w:rPr>
        <w:t>项目服务内容</w:t>
      </w:r>
      <w:bookmarkEnd w:id="3"/>
      <w:r>
        <w:rPr>
          <w:rFonts w:hint="eastAsia" w:cs="仿宋_GB2312" w:asciiTheme="minorEastAsia" w:hAnsiTheme="minorEastAsia"/>
          <w:sz w:val="24"/>
          <w:szCs w:val="24"/>
        </w:rPr>
        <w:t>：根据《全国医疗卫生机构信息互通共享三年攻坚行动方案(2023—2025 年)》、《落实全区重点问题整治改善就医服务减轻群众就医负担专项行动实施方案》精神，自治区卫生健康委办公室印发《广西壮族自治区电子医疗档案数据第二阶段院际调阅共享工作方案》的通知，按照广西全民健康信息平台数据采集技术规范与标准，开展院内信息系统改造与数据接口对接工作。</w:t>
      </w:r>
    </w:p>
    <w:p w14:paraId="137CF0F1">
      <w:pPr>
        <w:numPr>
          <w:ilvl w:val="0"/>
          <w:numId w:val="1"/>
        </w:numPr>
        <w:spacing w:line="560" w:lineRule="exact"/>
        <w:ind w:firstLine="482" w:firstLineChars="200"/>
        <w:rPr>
          <w:rFonts w:hint="eastAsia" w:cs="仿宋_GB2312" w:asciiTheme="minorEastAsia" w:hAnsiTheme="minorEastAsia"/>
          <w:b/>
          <w:bCs/>
          <w:sz w:val="24"/>
          <w:szCs w:val="24"/>
        </w:rPr>
      </w:pPr>
      <w:r>
        <w:rPr>
          <w:rFonts w:hint="eastAsia" w:cs="仿宋_GB2312" w:asciiTheme="minorEastAsia" w:hAnsiTheme="minorEastAsia"/>
          <w:b/>
          <w:bCs/>
          <w:sz w:val="24"/>
          <w:szCs w:val="24"/>
        </w:rPr>
        <w:t>资质要求</w:t>
      </w:r>
    </w:p>
    <w:p w14:paraId="42A63964">
      <w:pPr>
        <w:numPr>
          <w:ilvl w:val="0"/>
          <w:numId w:val="3"/>
        </w:numPr>
        <w:spacing w:line="560" w:lineRule="exact"/>
        <w:ind w:firstLine="480" w:firstLineChars="200"/>
        <w:rPr>
          <w:rFonts w:hint="eastAsia" w:cs="仿宋_GB2312" w:asciiTheme="minorEastAsia" w:hAnsiTheme="minorEastAsia"/>
          <w:sz w:val="24"/>
          <w:szCs w:val="24"/>
        </w:rPr>
      </w:pPr>
      <w:r>
        <w:rPr>
          <w:rFonts w:cs="仿宋_GB2312" w:asciiTheme="minorEastAsia" w:hAnsiTheme="minorEastAsia"/>
          <w:sz w:val="24"/>
          <w:szCs w:val="24"/>
        </w:rPr>
        <w:t>具有国内独立法人资格，注册经营范围满足本项目内容的供应商。</w:t>
      </w:r>
    </w:p>
    <w:p w14:paraId="35255B33">
      <w:pPr>
        <w:numPr>
          <w:ilvl w:val="0"/>
          <w:numId w:val="3"/>
        </w:numPr>
        <w:spacing w:line="560" w:lineRule="exact"/>
        <w:ind w:firstLine="480" w:firstLineChars="200"/>
        <w:rPr>
          <w:rFonts w:hint="eastAsia" w:cs="仿宋_GB2312" w:asciiTheme="minorEastAsia" w:hAnsiTheme="minorEastAsia"/>
          <w:sz w:val="24"/>
          <w:szCs w:val="24"/>
        </w:rPr>
      </w:pPr>
      <w:r>
        <w:rPr>
          <w:rFonts w:cs="仿宋_GB2312" w:asciiTheme="minorEastAsia" w:hAnsiTheme="minorEastAsia"/>
          <w:sz w:val="24"/>
          <w:szCs w:val="24"/>
        </w:rPr>
        <w:t>本项目不接受联合体报名。</w:t>
      </w:r>
    </w:p>
    <w:p w14:paraId="50DB5B4E">
      <w:pPr>
        <w:widowControl/>
        <w:kinsoku w:val="0"/>
        <w:autoSpaceDE/>
        <w:autoSpaceDN/>
        <w:adjustRightInd w:val="0"/>
        <w:snapToGrid w:val="0"/>
        <w:spacing w:line="560" w:lineRule="exact"/>
        <w:jc w:val="left"/>
        <w:textAlignment w:val="baseline"/>
        <w:rPr>
          <w:rFonts w:hint="eastAsia" w:cs="仿宋_GB2312" w:asciiTheme="minorEastAsia" w:hAnsiTheme="minorEastAsia"/>
          <w:b/>
          <w:bCs/>
          <w:sz w:val="24"/>
          <w:szCs w:val="24"/>
        </w:rPr>
      </w:pPr>
      <w:bookmarkStart w:id="6" w:name="_GoBack"/>
      <w:bookmarkEnd w:id="6"/>
      <w:r>
        <w:rPr>
          <w:rFonts w:hint="eastAsia" w:cs="方正仿宋_GB2312" w:asciiTheme="minorEastAsia" w:hAnsiTheme="minorEastAsia"/>
          <w:b/>
          <w:bCs/>
          <w:snapToGrid w:val="0"/>
          <w:kern w:val="0"/>
          <w:sz w:val="24"/>
          <w:szCs w:val="24"/>
        </w:rPr>
        <w:t>三、</w:t>
      </w:r>
      <w:r>
        <w:rPr>
          <w:rFonts w:hint="eastAsia" w:cs="仿宋_GB2312" w:asciiTheme="minorEastAsia" w:hAnsiTheme="minorEastAsia"/>
          <w:b/>
          <w:bCs/>
          <w:sz w:val="24"/>
          <w:szCs w:val="24"/>
        </w:rPr>
        <w:t>技术指标和配置</w:t>
      </w:r>
    </w:p>
    <w:p w14:paraId="736CE1AF">
      <w:pPr>
        <w:spacing w:line="560" w:lineRule="exact"/>
        <w:ind w:firstLine="480" w:firstLineChars="200"/>
        <w:rPr>
          <w:rFonts w:hint="eastAsia" w:cs="仿宋_GB2312" w:asciiTheme="minorEastAsia" w:hAnsiTheme="minorEastAsia"/>
          <w:sz w:val="28"/>
          <w:szCs w:val="28"/>
        </w:rPr>
      </w:pPr>
      <w:r>
        <w:rPr>
          <w:rFonts w:hint="eastAsia" w:cs="仿宋_GB2312" w:asciiTheme="minorEastAsia" w:hAnsiTheme="minorEastAsia"/>
          <w:sz w:val="24"/>
          <w:szCs w:val="24"/>
        </w:rPr>
        <w:t>说明：带“</w:t>
      </w:r>
      <w:bookmarkStart w:id="4" w:name="OLE_LINK11"/>
      <w:r>
        <w:rPr>
          <w:rFonts w:hint="eastAsia" w:cs="仿宋_GB2312" w:asciiTheme="minorEastAsia" w:hAnsiTheme="minorEastAsia"/>
          <w:sz w:val="24"/>
          <w:szCs w:val="24"/>
        </w:rPr>
        <w:t>△</w:t>
      </w:r>
      <w:bookmarkEnd w:id="4"/>
      <w:r>
        <w:rPr>
          <w:rFonts w:hint="eastAsia" w:cs="仿宋_GB2312" w:asciiTheme="minorEastAsia" w:hAnsiTheme="minorEastAsia"/>
          <w:sz w:val="24"/>
          <w:szCs w:val="24"/>
        </w:rPr>
        <w:t>”指标项为重要参数</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rPr>
        <w:t>带“</w:t>
      </w:r>
      <w:r>
        <w:rPr>
          <w:rFonts w:hint="eastAsia" w:cs="仿宋_GB2312" w:asciiTheme="minorEastAsia" w:hAnsiTheme="minorEastAsia"/>
          <w:sz w:val="24"/>
        </w:rPr>
        <w:t>▲</w:t>
      </w:r>
      <w:r>
        <w:rPr>
          <w:rFonts w:hint="eastAsia" w:cs="仿宋_GB2312" w:asciiTheme="minorEastAsia" w:hAnsiTheme="minorEastAsia"/>
          <w:sz w:val="24"/>
          <w:szCs w:val="24"/>
        </w:rPr>
        <w:t>”指</w:t>
      </w:r>
      <w:r>
        <w:rPr>
          <w:rFonts w:hint="eastAsia" w:cs="仿宋_GB2312" w:asciiTheme="minorEastAsia" w:hAnsiTheme="minorEastAsia"/>
          <w:color w:val="auto"/>
          <w:sz w:val="24"/>
          <w:szCs w:val="24"/>
        </w:rPr>
        <w:t>标项为必须响应的实质性要求，若无法完全满足或响应，将会被认定为</w:t>
      </w:r>
      <w:r>
        <w:rPr>
          <w:rFonts w:hint="eastAsia" w:cs="仿宋_GB2312" w:asciiTheme="minorEastAsia" w:hAnsiTheme="minorEastAsia"/>
          <w:color w:val="auto"/>
          <w:sz w:val="24"/>
          <w:szCs w:val="24"/>
          <w:lang w:val="en-US" w:eastAsia="zh-CN"/>
        </w:rPr>
        <w:t>报价</w:t>
      </w:r>
      <w:r>
        <w:rPr>
          <w:rFonts w:hint="eastAsia" w:cs="仿宋_GB2312" w:asciiTheme="minorEastAsia" w:hAnsiTheme="minorEastAsia"/>
          <w:color w:val="auto"/>
          <w:sz w:val="24"/>
          <w:szCs w:val="24"/>
        </w:rPr>
        <w:t>无效。</w:t>
      </w:r>
    </w:p>
    <w:tbl>
      <w:tblPr>
        <w:tblStyle w:val="16"/>
        <w:tblW w:w="95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8285"/>
      </w:tblGrid>
      <w:tr w14:paraId="2422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56" w:type="dxa"/>
          </w:tcPr>
          <w:p w14:paraId="2E7412C0">
            <w:pPr>
              <w:rPr>
                <w:rFonts w:hint="eastAsia" w:cs="仿宋_GB2312" w:asciiTheme="minorEastAsia" w:hAnsiTheme="minorEastAsia"/>
                <w:sz w:val="24"/>
              </w:rPr>
            </w:pPr>
            <w:r>
              <w:rPr>
                <w:rFonts w:hint="eastAsia" w:cs="仿宋_GB2312" w:asciiTheme="minorEastAsia" w:hAnsiTheme="minorEastAsia"/>
                <w:sz w:val="24"/>
              </w:rPr>
              <w:t>名称</w:t>
            </w:r>
          </w:p>
        </w:tc>
        <w:tc>
          <w:tcPr>
            <w:tcW w:w="8285" w:type="dxa"/>
          </w:tcPr>
          <w:p w14:paraId="58111E3F">
            <w:pPr>
              <w:rPr>
                <w:rFonts w:hint="eastAsia" w:cs="仿宋_GB2312" w:asciiTheme="minorEastAsia" w:hAnsiTheme="minorEastAsia"/>
                <w:sz w:val="24"/>
              </w:rPr>
            </w:pPr>
            <w:r>
              <w:rPr>
                <w:rFonts w:hint="eastAsia" w:cs="仿宋_GB2312" w:asciiTheme="minorEastAsia" w:hAnsiTheme="minorEastAsia"/>
                <w:sz w:val="24"/>
              </w:rPr>
              <w:t>功能描述</w:t>
            </w:r>
          </w:p>
        </w:tc>
      </w:tr>
      <w:tr w14:paraId="5CFE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14:paraId="4D2B7F5C">
            <w:pPr>
              <w:rPr>
                <w:rFonts w:hint="eastAsia" w:cs="仿宋_GB2312" w:asciiTheme="minorEastAsia" w:hAnsiTheme="minorEastAsia"/>
                <w:sz w:val="24"/>
              </w:rPr>
            </w:pPr>
            <w:r>
              <w:rPr>
                <w:rFonts w:hint="eastAsia" w:cs="仿宋_GB2312" w:asciiTheme="minorEastAsia" w:hAnsiTheme="minorEastAsia"/>
                <w:sz w:val="24"/>
              </w:rPr>
              <w:t>总体要求</w:t>
            </w:r>
          </w:p>
        </w:tc>
        <w:tc>
          <w:tcPr>
            <w:tcW w:w="8285" w:type="dxa"/>
            <w:vAlign w:val="center"/>
          </w:tcPr>
          <w:p w14:paraId="0CFA4F75">
            <w:pPr>
              <w:spacing w:line="360" w:lineRule="auto"/>
              <w:rPr>
                <w:rFonts w:hint="eastAsia" w:cs="仿宋_GB2312" w:asciiTheme="minorEastAsia" w:hAnsiTheme="minorEastAsia"/>
                <w:sz w:val="24"/>
              </w:rPr>
            </w:pPr>
            <w:r>
              <w:rPr>
                <w:rFonts w:hint="eastAsia" w:cs="仿宋_GB2312" w:asciiTheme="minorEastAsia" w:hAnsiTheme="minorEastAsia"/>
                <w:sz w:val="24"/>
              </w:rPr>
              <w:t>1.方案设计</w:t>
            </w:r>
          </w:p>
          <w:p w14:paraId="4BD6FE90">
            <w:pPr>
              <w:spacing w:line="360" w:lineRule="auto"/>
              <w:rPr>
                <w:rFonts w:hint="eastAsia" w:cs="仿宋_GB2312" w:asciiTheme="minorEastAsia" w:hAnsiTheme="minorEastAsia"/>
                <w:sz w:val="24"/>
              </w:rPr>
            </w:pPr>
            <w:r>
              <w:rPr>
                <w:rFonts w:hint="eastAsia" w:cs="仿宋_GB2312" w:asciiTheme="minorEastAsia" w:hAnsiTheme="minorEastAsia"/>
                <w:sz w:val="24"/>
              </w:rPr>
              <w:t>根据《自治区卫生健康委办公室关于印发广西壮族自治区电子医疗档案数据第二阶段院际调阅共享工作方案的通知》文件要求，对现有流程进行优化设计制定最优方案。</w:t>
            </w:r>
          </w:p>
          <w:p w14:paraId="43A245A9">
            <w:pPr>
              <w:spacing w:line="360" w:lineRule="auto"/>
              <w:rPr>
                <w:rFonts w:hint="eastAsia" w:cs="仿宋_GB2312" w:asciiTheme="minorEastAsia" w:hAnsiTheme="minorEastAsia"/>
                <w:sz w:val="24"/>
              </w:rPr>
            </w:pPr>
            <w:r>
              <w:rPr>
                <w:rFonts w:hint="eastAsia" w:cs="仿宋_GB2312" w:asciiTheme="minorEastAsia" w:hAnsiTheme="minorEastAsia"/>
                <w:sz w:val="24"/>
              </w:rPr>
              <w:t>2.数据接口对接</w:t>
            </w:r>
          </w:p>
          <w:p w14:paraId="25F0C26B">
            <w:pPr>
              <w:spacing w:line="360" w:lineRule="auto"/>
              <w:rPr>
                <w:rFonts w:hint="eastAsia" w:cs="仿宋_GB2312" w:asciiTheme="minorEastAsia" w:hAnsiTheme="minorEastAsia"/>
                <w:sz w:val="24"/>
              </w:rPr>
            </w:pPr>
            <w:r>
              <w:rPr>
                <w:rFonts w:hint="eastAsia" w:cs="仿宋_GB2312" w:asciiTheme="minorEastAsia" w:hAnsiTheme="minorEastAsia"/>
                <w:sz w:val="24"/>
              </w:rPr>
              <w:t>（1）完成中山大学附属第一医院广西医院现有信息系统与广西全民健康信息平台的数据上传及应用接口开发工作。</w:t>
            </w:r>
          </w:p>
          <w:p w14:paraId="41206C0F">
            <w:pPr>
              <w:spacing w:line="360" w:lineRule="auto"/>
              <w:rPr>
                <w:rFonts w:hint="eastAsia" w:cs="仿宋_GB2312" w:asciiTheme="minorEastAsia" w:hAnsiTheme="minorEastAsia"/>
                <w:sz w:val="24"/>
              </w:rPr>
            </w:pPr>
            <w:r>
              <w:rPr>
                <w:rFonts w:hint="eastAsia" w:cs="仿宋_GB2312" w:asciiTheme="minorEastAsia" w:hAnsiTheme="minorEastAsia"/>
                <w:sz w:val="24"/>
              </w:rPr>
              <w:t>（2）按照广西全民健康信息平台医疗档案数据第二阶段院际调阅共享工作方案的整体要求，确保接口开发符合但不限于广西全民健康信息平台数据采集规范-医疗及运营分册V1.3、广西全民健康信息平台-数据编码标准规范（检查检验结果互认系统）V1.3、广西全民健康信息平台数据元值域代码V2.0以及</w:t>
            </w:r>
            <w:bookmarkStart w:id="5" w:name="OLE_LINK26"/>
            <w:r>
              <w:rPr>
                <w:rFonts w:hint="eastAsia" w:cs="仿宋_GB2312" w:asciiTheme="minorEastAsia" w:hAnsiTheme="minorEastAsia"/>
                <w:sz w:val="24"/>
              </w:rPr>
              <w:t>广西全民健康信息平台检查检验结果互认对接方案</w:t>
            </w:r>
            <w:bookmarkEnd w:id="5"/>
            <w:r>
              <w:rPr>
                <w:rFonts w:hint="eastAsia" w:cs="仿宋_GB2312" w:asciiTheme="minorEastAsia" w:hAnsiTheme="minorEastAsia"/>
                <w:sz w:val="24"/>
              </w:rPr>
              <w:t>V1.3的标准和要求</w:t>
            </w:r>
            <w:r>
              <w:rPr>
                <w:rFonts w:hint="eastAsia" w:cs="仿宋_GB2312" w:asciiTheme="minorEastAsia" w:hAnsiTheme="minorEastAsia"/>
                <w:sz w:val="24"/>
                <w:lang w:eastAsia="zh-CN"/>
              </w:rPr>
              <w:t>，</w:t>
            </w:r>
            <w:r>
              <w:rPr>
                <w:rFonts w:hint="eastAsia" w:cs="仿宋_GB2312" w:asciiTheme="minorEastAsia" w:hAnsiTheme="minorEastAsia"/>
                <w:kern w:val="2"/>
                <w:sz w:val="24"/>
                <w:lang w:val="en-US" w:eastAsia="zh-CN"/>
              </w:rPr>
              <w:t>并根据广西卫健委后续的相关政策要求进行免费开发和部署</w:t>
            </w:r>
            <w:r>
              <w:rPr>
                <w:rFonts w:hint="eastAsia" w:cs="仿宋_GB2312" w:asciiTheme="minorEastAsia" w:hAnsiTheme="minorEastAsia"/>
                <w:kern w:val="2"/>
                <w:sz w:val="24"/>
              </w:rPr>
              <w:t>。</w:t>
            </w:r>
          </w:p>
        </w:tc>
      </w:tr>
      <w:tr w14:paraId="7293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restart"/>
          </w:tcPr>
          <w:p w14:paraId="03020301">
            <w:pPr>
              <w:rPr>
                <w:rFonts w:hint="eastAsia" w:cs="仿宋_GB2312" w:asciiTheme="minorEastAsia" w:hAnsiTheme="minorEastAsia"/>
                <w:sz w:val="24"/>
              </w:rPr>
            </w:pPr>
            <w:r>
              <w:rPr>
                <w:rFonts w:hint="eastAsia" w:cs="仿宋_GB2312" w:asciiTheme="minorEastAsia" w:hAnsiTheme="minorEastAsia"/>
                <w:sz w:val="24"/>
              </w:rPr>
              <w:t>功能要求</w:t>
            </w:r>
          </w:p>
        </w:tc>
        <w:tc>
          <w:tcPr>
            <w:tcW w:w="8285" w:type="dxa"/>
            <w:vAlign w:val="center"/>
          </w:tcPr>
          <w:p w14:paraId="761FCEBE">
            <w:pPr>
              <w:spacing w:line="360" w:lineRule="auto"/>
              <w:rPr>
                <w:rFonts w:hint="eastAsia" w:cs="仿宋_GB2312" w:asciiTheme="minorEastAsia" w:hAnsiTheme="minorEastAsia"/>
                <w:sz w:val="24"/>
              </w:rPr>
            </w:pPr>
            <w:r>
              <w:rPr>
                <w:rFonts w:hint="eastAsia" w:cs="仿宋_GB2312" w:asciiTheme="minorEastAsia" w:hAnsiTheme="minorEastAsia"/>
                <w:sz w:val="24"/>
              </w:rPr>
              <w:t>1、全区电子医疗档案数据院际调阅互认</w:t>
            </w:r>
            <w:r>
              <w:rPr>
                <w:rFonts w:hint="eastAsia" w:cs="仿宋_GB2312" w:asciiTheme="minorEastAsia" w:hAnsiTheme="minorEastAsia"/>
                <w:sz w:val="24"/>
                <w:lang w:val="en-US" w:eastAsia="zh-CN"/>
              </w:rPr>
              <w:t>协同开发服务</w:t>
            </w:r>
            <w:r>
              <w:rPr>
                <w:rFonts w:hint="eastAsia" w:cs="仿宋_GB2312" w:asciiTheme="minorEastAsia" w:hAnsiTheme="minorEastAsia"/>
                <w:sz w:val="24"/>
              </w:rPr>
              <w:t>需基于我院现有的医院系统进行开发与改造。</w:t>
            </w:r>
          </w:p>
        </w:tc>
      </w:tr>
      <w:tr w14:paraId="413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continue"/>
          </w:tcPr>
          <w:p w14:paraId="3407D612">
            <w:pPr>
              <w:ind w:firstLine="480" w:firstLineChars="200"/>
              <w:rPr>
                <w:rFonts w:hint="eastAsia" w:cs="仿宋_GB2312" w:asciiTheme="minorEastAsia" w:hAnsiTheme="minorEastAsia"/>
                <w:sz w:val="24"/>
              </w:rPr>
            </w:pPr>
          </w:p>
        </w:tc>
        <w:tc>
          <w:tcPr>
            <w:tcW w:w="8285" w:type="dxa"/>
            <w:vAlign w:val="center"/>
          </w:tcPr>
          <w:p w14:paraId="2008A9B2">
            <w:pPr>
              <w:pStyle w:val="14"/>
              <w:widowControl/>
              <w:spacing w:beforeAutospacing="0" w:afterAutospacing="0" w:line="360" w:lineRule="auto"/>
              <w:rPr>
                <w:rFonts w:hint="eastAsia" w:cs="仿宋_GB2312" w:asciiTheme="minorEastAsia" w:hAnsiTheme="minorEastAsia" w:eastAsiaTheme="minorEastAsia"/>
                <w:kern w:val="2"/>
                <w:lang w:eastAsia="zh-CN"/>
              </w:rPr>
            </w:pPr>
            <w:r>
              <w:rPr>
                <w:rFonts w:hint="eastAsia" w:cs="仿宋_GB2312" w:asciiTheme="minorEastAsia" w:hAnsiTheme="minorEastAsia"/>
                <w:kern w:val="2"/>
              </w:rPr>
              <w:t>2、智慧医院小程序预约挂号改造（提供对接承诺函等证明材料）</w:t>
            </w:r>
            <w:r>
              <w:rPr>
                <w:rFonts w:hint="eastAsia" w:cs="仿宋_GB2312" w:asciiTheme="minorEastAsia" w:hAnsiTheme="minorEastAsia"/>
                <w:kern w:val="2"/>
                <w:lang w:eastAsia="zh-CN"/>
              </w:rPr>
              <w:t>。</w:t>
            </w:r>
          </w:p>
          <w:p w14:paraId="54750547">
            <w:pPr>
              <w:spacing w:line="360" w:lineRule="auto"/>
              <w:rPr>
                <w:rFonts w:cs="仿宋_GB2312" w:asciiTheme="minorEastAsia" w:hAnsiTheme="minorEastAsia"/>
                <w:sz w:val="24"/>
              </w:rPr>
            </w:pPr>
            <w:r>
              <w:rPr>
                <w:rFonts w:hint="eastAsia" w:cs="仿宋_GB2312" w:asciiTheme="minorEastAsia" w:hAnsiTheme="minorEastAsia"/>
                <w:sz w:val="24"/>
              </w:rPr>
              <w:t>a.</w:t>
            </w:r>
            <w:r>
              <w:rPr>
                <w:rFonts w:hint="eastAsia" w:cs="仿宋_GB2312" w:asciiTheme="minorEastAsia" w:hAnsiTheme="minorEastAsia"/>
                <w:sz w:val="24"/>
              </w:rPr>
              <w:tab/>
            </w:r>
            <w:r>
              <w:rPr>
                <w:rFonts w:hint="eastAsia" w:cs="仿宋_GB2312" w:asciiTheme="minorEastAsia" w:hAnsiTheme="minorEastAsia"/>
                <w:sz w:val="24"/>
              </w:rPr>
              <w:t>增加患者授权同意流程，确保患者在预约挂号时能够明确授权平台获取其在其他医院的就诊数据，并共享给预约医院用于诊疗参考。</w:t>
            </w:r>
          </w:p>
          <w:p w14:paraId="4F44E757">
            <w:pPr>
              <w:spacing w:line="360" w:lineRule="auto"/>
              <w:rPr>
                <w:rFonts w:hint="eastAsia" w:cs="仿宋_GB2312" w:asciiTheme="minorEastAsia" w:hAnsiTheme="minorEastAsia"/>
                <w:sz w:val="24"/>
              </w:rPr>
            </w:pPr>
            <w:r>
              <w:rPr>
                <w:rFonts w:hint="eastAsia" w:cs="仿宋_GB2312" w:asciiTheme="minorEastAsia" w:hAnsiTheme="minorEastAsia"/>
                <w:sz w:val="24"/>
              </w:rPr>
              <w:t>b.</w:t>
            </w:r>
            <w:r>
              <w:rPr>
                <w:rFonts w:hint="eastAsia" w:cs="仿宋_GB2312" w:asciiTheme="minorEastAsia" w:hAnsiTheme="minorEastAsia"/>
                <w:sz w:val="24"/>
              </w:rPr>
              <w:tab/>
            </w:r>
            <w:r>
              <w:rPr>
                <w:rFonts w:hint="eastAsia" w:cs="仿宋_GB2312" w:asciiTheme="minorEastAsia" w:hAnsiTheme="minorEastAsia"/>
                <w:sz w:val="24"/>
              </w:rPr>
              <w:t>设计数据推送机制，确保患者在其他医院的就诊数据能够在就诊前15天内定时推送至预约医院，并在就诊当天凌晨完成推送。</w:t>
            </w:r>
          </w:p>
          <w:p w14:paraId="5D0FF929">
            <w:pPr>
              <w:widowControl/>
              <w:spacing w:beforeAutospacing="0" w:afterAutospacing="0"/>
              <w:rPr>
                <w:rFonts w:cs="仿宋_GB2312" w:asciiTheme="minorEastAsia" w:hAnsiTheme="minorEastAsia"/>
                <w:kern w:val="2"/>
              </w:rPr>
            </w:pPr>
            <w:r>
              <w:rPr>
                <w:rFonts w:hint="eastAsia" w:cs="仿宋_GB2312" w:asciiTheme="minorEastAsia" w:hAnsiTheme="minorEastAsia"/>
                <w:sz w:val="24"/>
              </w:rPr>
              <w:t>c.</w:t>
            </w:r>
            <w:r>
              <w:rPr>
                <w:rFonts w:hint="eastAsia" w:cs="仿宋_GB2312" w:asciiTheme="minorEastAsia" w:hAnsiTheme="minorEastAsia"/>
                <w:sz w:val="24"/>
              </w:rPr>
              <w:tab/>
            </w:r>
            <w:r>
              <w:rPr>
                <w:rFonts w:hint="eastAsia" w:cs="仿宋_GB2312" w:asciiTheme="minorEastAsia" w:hAnsiTheme="minorEastAsia"/>
                <w:sz w:val="24"/>
              </w:rPr>
              <w:t>设计数据存储与管理机制，确保推送的数据能够安全存储，并在患者就诊时间超过30天后自动删除。</w:t>
            </w:r>
          </w:p>
          <w:p w14:paraId="754CD358">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lang w:val="en-US" w:eastAsia="zh-CN"/>
              </w:rPr>
              <w:t>d.</w:t>
            </w:r>
            <w:r>
              <w:rPr>
                <w:rFonts w:hint="eastAsia" w:cs="仿宋_GB2312" w:asciiTheme="minorEastAsia" w:hAnsiTheme="minorEastAsia"/>
                <w:kern w:val="2"/>
              </w:rPr>
              <w:t>▲针对患者预约挂号的业务场景，建设便于患者提供可信授权的功能。具体要求如下：</w:t>
            </w:r>
          </w:p>
          <w:p w14:paraId="6779D319">
            <w:pPr>
              <w:pStyle w:val="14"/>
              <w:widowControl/>
              <w:numPr>
                <w:ilvl w:val="0"/>
                <w:numId w:val="0"/>
              </w:numPr>
              <w:spacing w:beforeAutospacing="0" w:afterAutospacing="0" w:line="360" w:lineRule="auto"/>
              <w:ind w:left="0" w:firstLine="0"/>
              <w:rPr>
                <w:rFonts w:hint="eastAsia" w:cs="仿宋_GB2312" w:asciiTheme="minorEastAsia" w:hAnsiTheme="minorEastAsia"/>
                <w:kern w:val="2"/>
              </w:rPr>
            </w:pPr>
            <w:r>
              <w:rPr>
                <w:rFonts w:hint="eastAsia" w:cs="仿宋_GB2312" w:asciiTheme="minorEastAsia" w:hAnsiTheme="minorEastAsia"/>
                <w:kern w:val="2"/>
                <w:sz w:val="24"/>
                <w:szCs w:val="24"/>
                <w:lang w:val="en-US" w:eastAsia="zh-CN" w:bidi="ar-SA"/>
              </w:rPr>
              <w:t>e</w:t>
            </w:r>
            <w:r>
              <w:rPr>
                <w:rFonts w:hint="default" w:cs="仿宋_GB2312" w:asciiTheme="minorEastAsia" w:hAnsiTheme="minorEastAsia" w:eastAsiaTheme="minorEastAsia"/>
                <w:kern w:val="2"/>
                <w:sz w:val="24"/>
                <w:szCs w:val="24"/>
                <w:lang w:val="en-US" w:eastAsia="zh-CN" w:bidi="ar-SA"/>
              </w:rPr>
              <w:t>.</w:t>
            </w:r>
            <w:r>
              <w:rPr>
                <w:rFonts w:hint="eastAsia" w:cs="仿宋_GB2312" w:asciiTheme="minorEastAsia" w:hAnsiTheme="minorEastAsia"/>
                <w:kern w:val="2"/>
              </w:rPr>
              <w:t>▲在患者通过智慧医院小程序进行预约挂号时，自动弹出授权页面，向患者说明授权的目的、范围和有效期，患者同意授权后，平台方可获取和共享其医疗数据（提供系统截图证明材料）。</w:t>
            </w:r>
          </w:p>
          <w:p w14:paraId="48792251">
            <w:pPr>
              <w:pStyle w:val="14"/>
              <w:widowControl/>
              <w:numPr>
                <w:ilvl w:val="0"/>
                <w:numId w:val="0"/>
              </w:numPr>
              <w:spacing w:beforeAutospacing="0" w:afterAutospacing="0" w:line="360" w:lineRule="auto"/>
              <w:ind w:left="0" w:firstLine="0"/>
              <w:rPr>
                <w:rFonts w:hint="eastAsia" w:cs="仿宋_GB2312" w:asciiTheme="minorEastAsia" w:hAnsiTheme="minorEastAsia"/>
                <w:kern w:val="2"/>
              </w:rPr>
            </w:pPr>
            <w:r>
              <w:rPr>
                <w:rFonts w:hint="eastAsia" w:cs="仿宋_GB2312" w:asciiTheme="minorEastAsia" w:hAnsiTheme="minorEastAsia"/>
                <w:kern w:val="2"/>
                <w:sz w:val="24"/>
                <w:szCs w:val="24"/>
                <w:lang w:val="en-US" w:eastAsia="zh-CN" w:bidi="ar-SA"/>
              </w:rPr>
              <w:t>f</w:t>
            </w:r>
            <w:r>
              <w:rPr>
                <w:rFonts w:hint="default" w:cs="仿宋_GB2312" w:asciiTheme="minorEastAsia" w:hAnsiTheme="minorEastAsia" w:eastAsiaTheme="minorEastAsia"/>
                <w:kern w:val="2"/>
                <w:sz w:val="24"/>
                <w:szCs w:val="24"/>
                <w:lang w:val="en-US" w:eastAsia="zh-CN" w:bidi="ar-SA"/>
              </w:rPr>
              <w:t>.</w:t>
            </w:r>
            <w:r>
              <w:rPr>
                <w:rFonts w:hint="eastAsia" w:cs="仿宋_GB2312" w:asciiTheme="minorEastAsia" w:hAnsiTheme="minorEastAsia"/>
                <w:kern w:val="2"/>
              </w:rPr>
              <w:t>▲患者可以在智慧医院小程序的“我的授权”页面查看所有授权记录的详细信息，包括授权状态（已授权、已取消）、授权时间、授权医疗机构、授权有效期等。若患者需要撤销授权，可在授权有效期内点击“撤销授权”按钮，系统将向平台发送撤销授权请求，平台接收到请求后，及时更新授权状态，并停止该患者的数据共享推送。</w:t>
            </w:r>
          </w:p>
        </w:tc>
      </w:tr>
      <w:tr w14:paraId="06A9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continue"/>
          </w:tcPr>
          <w:p w14:paraId="6513FA47">
            <w:pPr>
              <w:ind w:firstLine="480" w:firstLineChars="200"/>
              <w:rPr>
                <w:rFonts w:hint="eastAsia" w:cs="仿宋_GB2312" w:asciiTheme="minorEastAsia" w:hAnsiTheme="minorEastAsia"/>
                <w:sz w:val="24"/>
              </w:rPr>
            </w:pPr>
          </w:p>
        </w:tc>
        <w:tc>
          <w:tcPr>
            <w:tcW w:w="8285" w:type="dxa"/>
            <w:vAlign w:val="center"/>
          </w:tcPr>
          <w:p w14:paraId="282D75AF">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rPr>
              <w:t>3、数据存储与管理</w:t>
            </w:r>
          </w:p>
          <w:p w14:paraId="765158A9">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rPr>
              <w:t>a.</w:t>
            </w:r>
            <w:r>
              <w:rPr>
                <w:rFonts w:hint="eastAsia" w:cs="仿宋_GB2312" w:asciiTheme="minorEastAsia" w:hAnsiTheme="minorEastAsia"/>
                <w:kern w:val="2"/>
              </w:rPr>
              <w:tab/>
            </w:r>
            <w:r>
              <w:rPr>
                <w:rFonts w:hint="eastAsia" w:cs="仿宋_GB2312" w:asciiTheme="minorEastAsia" w:hAnsiTheme="minorEastAsia"/>
                <w:kern w:val="2"/>
              </w:rPr>
              <w:t>△新建数据库，用于存储患者在其他医院的就诊数据，包括患者信息表、门急诊就诊记录、入院登记表、处方、门急诊病历、病案首页、检验检查表、体检报告</w:t>
            </w:r>
            <w:r>
              <w:rPr>
                <w:rFonts w:hint="eastAsia" w:cs="仿宋_GB2312" w:asciiTheme="minorEastAsia" w:hAnsiTheme="minorEastAsia"/>
                <w:kern w:val="2"/>
                <w:lang w:val="en-US" w:eastAsia="zh-CN"/>
              </w:rPr>
              <w:t>等</w:t>
            </w:r>
            <w:r>
              <w:rPr>
                <w:rFonts w:hint="eastAsia" w:cs="仿宋_GB2312" w:asciiTheme="minorEastAsia" w:hAnsiTheme="minorEastAsia"/>
                <w:kern w:val="2"/>
              </w:rPr>
              <w:t>数据</w:t>
            </w:r>
            <w:r>
              <w:rPr>
                <w:rFonts w:hint="eastAsia" w:cs="仿宋_GB2312" w:asciiTheme="minorEastAsia" w:hAnsiTheme="minorEastAsia"/>
                <w:kern w:val="2"/>
                <w:lang w:eastAsia="zh-CN"/>
              </w:rPr>
              <w:t>，</w:t>
            </w:r>
            <w:r>
              <w:rPr>
                <w:rFonts w:hint="eastAsia" w:cs="仿宋_GB2312" w:asciiTheme="minorEastAsia" w:hAnsiTheme="minorEastAsia"/>
                <w:kern w:val="2"/>
                <w:lang w:val="en-US" w:eastAsia="zh-CN"/>
              </w:rPr>
              <w:t>及后续广西卫健委政策要求所需的其他数据</w:t>
            </w:r>
            <w:r>
              <w:rPr>
                <w:rFonts w:hint="eastAsia" w:cs="仿宋_GB2312" w:asciiTheme="minorEastAsia" w:hAnsiTheme="minorEastAsia"/>
                <w:kern w:val="2"/>
              </w:rPr>
              <w:t>。</w:t>
            </w:r>
          </w:p>
          <w:p w14:paraId="57B007F5">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rPr>
              <w:t>b.</w:t>
            </w:r>
            <w:r>
              <w:rPr>
                <w:rFonts w:hint="eastAsia" w:cs="仿宋_GB2312" w:asciiTheme="minorEastAsia" w:hAnsiTheme="minorEastAsia"/>
                <w:kern w:val="2"/>
              </w:rPr>
              <w:tab/>
            </w:r>
            <w:r>
              <w:rPr>
                <w:rFonts w:hint="eastAsia" w:cs="仿宋_GB2312" w:asciiTheme="minorEastAsia" w:hAnsiTheme="minorEastAsia"/>
                <w:kern w:val="2"/>
              </w:rPr>
              <w:t>△采用 HMAC-SM3 技术对医疗应用数据、医疗支付等重要数据进行存储完整性保护，采用 SM4 算法对患者身份信息（身份证号、住址、电话、联系人等）、电子病历等重要数据进行加密保护，实现重要数据的存储机密性保护。</w:t>
            </w:r>
          </w:p>
          <w:p w14:paraId="69B4A088">
            <w:pPr>
              <w:pStyle w:val="14"/>
              <w:widowControl/>
              <w:spacing w:beforeAutospacing="0" w:afterAutospacing="0" w:line="360" w:lineRule="auto"/>
              <w:rPr>
                <w:rFonts w:hint="eastAsia" w:cs="仿宋_GB2312" w:asciiTheme="minorEastAsia" w:hAnsiTheme="minorEastAsia"/>
                <w:kern w:val="2"/>
              </w:rPr>
            </w:pPr>
            <w:r>
              <w:rPr>
                <w:rFonts w:hint="eastAsia" w:cs="仿宋_GB2312" w:asciiTheme="minorEastAsia" w:hAnsiTheme="minorEastAsia"/>
                <w:kern w:val="2"/>
              </w:rPr>
              <w:t>c.</w:t>
            </w:r>
            <w:r>
              <w:rPr>
                <w:rFonts w:hint="eastAsia" w:cs="仿宋_GB2312" w:asciiTheme="minorEastAsia" w:hAnsiTheme="minorEastAsia"/>
                <w:kern w:val="2"/>
              </w:rPr>
              <w:tab/>
            </w:r>
            <w:r>
              <w:rPr>
                <w:rFonts w:hint="eastAsia" w:cs="仿宋_GB2312" w:asciiTheme="minorEastAsia" w:hAnsiTheme="minorEastAsia"/>
                <w:kern w:val="2"/>
              </w:rPr>
              <w:t>△设计定时任务，患者就诊时间超过30天后，定时任务自动删除该患者的推送数据，确保数据存储的合规性。</w:t>
            </w:r>
          </w:p>
        </w:tc>
      </w:tr>
      <w:tr w14:paraId="7C35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continue"/>
          </w:tcPr>
          <w:p w14:paraId="4F48E050">
            <w:pPr>
              <w:ind w:firstLine="480" w:firstLineChars="200"/>
              <w:rPr>
                <w:rFonts w:hint="eastAsia" w:cs="仿宋_GB2312" w:asciiTheme="minorEastAsia" w:hAnsiTheme="minorEastAsia"/>
                <w:sz w:val="24"/>
              </w:rPr>
            </w:pPr>
          </w:p>
        </w:tc>
        <w:tc>
          <w:tcPr>
            <w:tcW w:w="8285" w:type="dxa"/>
            <w:vAlign w:val="center"/>
          </w:tcPr>
          <w:p w14:paraId="6A0822B3">
            <w:pPr>
              <w:spacing w:line="360" w:lineRule="auto"/>
              <w:rPr>
                <w:rFonts w:cs="仿宋_GB2312" w:asciiTheme="minorEastAsia" w:hAnsiTheme="minorEastAsia"/>
                <w:sz w:val="24"/>
              </w:rPr>
            </w:pPr>
            <w:r>
              <w:rPr>
                <w:rFonts w:hint="eastAsia" w:cs="仿宋_GB2312" w:asciiTheme="minorEastAsia" w:hAnsiTheme="minorEastAsia"/>
                <w:sz w:val="24"/>
              </w:rPr>
              <w:t>4、△院内系统请求查询功能</w:t>
            </w:r>
          </w:p>
          <w:p w14:paraId="742183FE">
            <w:pPr>
              <w:pStyle w:val="2"/>
              <w:spacing w:after="0" w:line="360" w:lineRule="auto"/>
              <w:rPr>
                <w:rFonts w:hint="eastAsia" w:cs="仿宋_GB2312" w:asciiTheme="minorEastAsia" w:hAnsiTheme="minorEastAsia"/>
                <w:sz w:val="24"/>
              </w:rPr>
            </w:pPr>
            <w:r>
              <w:rPr>
                <w:rFonts w:hint="eastAsia" w:cs="仿宋_GB2312" w:asciiTheme="minorEastAsia" w:hAnsiTheme="minorEastAsia"/>
                <w:sz w:val="24"/>
              </w:rPr>
              <w:t>医生在院内工作站登录后，通过患者身份信息查询获取患者授权状态，若已授权则请求查询患者在区域内其他医院的就诊数据，系统展示查询结果供医生参考</w:t>
            </w:r>
          </w:p>
        </w:tc>
      </w:tr>
      <w:tr w14:paraId="4EED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Merge w:val="continue"/>
          </w:tcPr>
          <w:p w14:paraId="4465D632">
            <w:pPr>
              <w:ind w:firstLine="480" w:firstLineChars="200"/>
              <w:rPr>
                <w:rFonts w:hint="eastAsia" w:cs="仿宋_GB2312" w:asciiTheme="minorEastAsia" w:hAnsiTheme="minorEastAsia"/>
                <w:sz w:val="24"/>
              </w:rPr>
            </w:pPr>
          </w:p>
        </w:tc>
        <w:tc>
          <w:tcPr>
            <w:tcW w:w="8285" w:type="dxa"/>
            <w:vAlign w:val="center"/>
          </w:tcPr>
          <w:p w14:paraId="1CCA23C7">
            <w:pPr>
              <w:spacing w:line="360" w:lineRule="auto"/>
              <w:rPr>
                <w:rFonts w:cs="仿宋_GB2312" w:asciiTheme="minorEastAsia" w:hAnsiTheme="minorEastAsia"/>
                <w:sz w:val="24"/>
              </w:rPr>
            </w:pPr>
            <w:r>
              <w:rPr>
                <w:rFonts w:hint="eastAsia" w:cs="仿宋_GB2312" w:asciiTheme="minorEastAsia" w:hAnsiTheme="minorEastAsia"/>
                <w:sz w:val="24"/>
              </w:rPr>
              <w:t>5、▲医疗档案数据共享服务功能开发</w:t>
            </w:r>
          </w:p>
          <w:p w14:paraId="4CC185A3">
            <w:pPr>
              <w:pStyle w:val="2"/>
              <w:spacing w:after="0" w:line="360" w:lineRule="auto"/>
              <w:rPr>
                <w:rFonts w:hint="eastAsia" w:cs="仿宋_GB2312" w:asciiTheme="minorEastAsia" w:hAnsiTheme="minorEastAsia"/>
                <w:sz w:val="24"/>
              </w:rPr>
            </w:pPr>
            <w:r>
              <w:rPr>
                <w:rFonts w:hint="eastAsia" w:cs="仿宋_GB2312" w:asciiTheme="minorEastAsia" w:hAnsiTheme="minorEastAsia"/>
                <w:sz w:val="24"/>
              </w:rPr>
              <w:t>允许按照《广西全民健康信息平台检查检验结果互认对接方案》要求，接收省平台推送的患者在其他医院的就诊数据包括但不限于检验检查数据、患者体检数据等，并进行本地存储和管理，并开发接口调用功能提供给医院相关信息系统使用。</w:t>
            </w:r>
          </w:p>
        </w:tc>
      </w:tr>
      <w:tr w14:paraId="50F2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6" w:type="dxa"/>
          </w:tcPr>
          <w:p w14:paraId="21103EEA">
            <w:pPr>
              <w:rPr>
                <w:rFonts w:hint="eastAsia" w:cs="仿宋_GB2312" w:asciiTheme="minorEastAsia" w:hAnsiTheme="minorEastAsia"/>
                <w:sz w:val="24"/>
              </w:rPr>
            </w:pPr>
            <w:r>
              <w:rPr>
                <w:rFonts w:hint="eastAsia" w:cs="仿宋_GB2312" w:asciiTheme="minorEastAsia" w:hAnsiTheme="minorEastAsia"/>
                <w:sz w:val="24"/>
              </w:rPr>
              <w:t>接口</w:t>
            </w:r>
          </w:p>
        </w:tc>
        <w:tc>
          <w:tcPr>
            <w:tcW w:w="8285" w:type="dxa"/>
          </w:tcPr>
          <w:p w14:paraId="7514169A">
            <w:pPr>
              <w:spacing w:line="360" w:lineRule="auto"/>
              <w:rPr>
                <w:rFonts w:hint="eastAsia" w:cs="仿宋_GB2312" w:asciiTheme="minorEastAsia" w:hAnsiTheme="minorEastAsia"/>
                <w:sz w:val="24"/>
              </w:rPr>
            </w:pPr>
            <w:r>
              <w:rPr>
                <w:rFonts w:hint="eastAsia" w:cs="仿宋_GB2312" w:asciiTheme="minorEastAsia" w:hAnsiTheme="minorEastAsia"/>
                <w:sz w:val="24"/>
              </w:rPr>
              <w:t>▲中标供应商承担该项目与第三方系统对接中所有产生的接口费用，包括但不限于医院his系统，电子病历系统等系统对接接口（提供承诺函等证明材料）</w:t>
            </w:r>
          </w:p>
        </w:tc>
      </w:tr>
    </w:tbl>
    <w:p w14:paraId="51F125B0">
      <w:pPr>
        <w:pStyle w:val="2"/>
        <w:rPr>
          <w:rFonts w:hint="eastAsia" w:cs="方正仿宋_GB2312" w:asciiTheme="minorEastAsia" w:hAnsiTheme="minorEastAsia"/>
          <w:b/>
          <w:bCs/>
          <w:snapToGrid w:val="0"/>
          <w:kern w:val="0"/>
          <w:sz w:val="28"/>
          <w:szCs w:val="28"/>
          <w:lang w:val="en-US" w:eastAsia="zh-CN"/>
        </w:rPr>
      </w:pPr>
    </w:p>
    <w:p w14:paraId="5FD8EC42">
      <w:pPr>
        <w:rPr>
          <w:rFonts w:hint="eastAsia" w:ascii="Arial" w:hAnsi="Arial" w:eastAsia="隶书"/>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0FCEA0-4D28-4614-954C-2F9642F6291E}"/>
  </w:font>
  <w:font w:name="黑体">
    <w:panose1 w:val="02010609060101010101"/>
    <w:charset w:val="86"/>
    <w:family w:val="auto"/>
    <w:pitch w:val="default"/>
    <w:sig w:usb0="800002BF" w:usb1="38CF7CFA" w:usb2="00000016" w:usb3="00000000" w:csb0="00040001" w:csb1="00000000"/>
    <w:embedRegular r:id="rId2" w:fontKey="{69359AA3-D896-46B6-896C-62C72D11AE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embedRegular r:id="rId3" w:fontKey="{C105896C-271A-4CD4-99CD-972FAA680461}"/>
  </w:font>
  <w:font w:name="微软雅黑">
    <w:panose1 w:val="020B0503020204020204"/>
    <w:charset w:val="86"/>
    <w:family w:val="swiss"/>
    <w:pitch w:val="default"/>
    <w:sig w:usb0="80000287" w:usb1="2ACF3C50" w:usb2="00000016" w:usb3="00000000" w:csb0="0004001F" w:csb1="00000000"/>
    <w:embedRegular r:id="rId4" w:fontKey="{1B3044E1-6065-47D9-BAB9-3A355669400F}"/>
  </w:font>
  <w:font w:name="仿宋_GB2312">
    <w:panose1 w:val="02010609030101010101"/>
    <w:charset w:val="86"/>
    <w:family w:val="modern"/>
    <w:pitch w:val="default"/>
    <w:sig w:usb0="00000001" w:usb1="080E0000" w:usb2="00000000" w:usb3="00000000" w:csb0="00040000" w:csb1="00000000"/>
    <w:embedRegular r:id="rId5" w:fontKey="{7AC30386-2069-4E51-8E66-E357159A465B}"/>
  </w:font>
  <w:font w:name="方正仿宋_GB2312">
    <w:panose1 w:val="02000000000000000000"/>
    <w:charset w:val="86"/>
    <w:family w:val="auto"/>
    <w:pitch w:val="default"/>
    <w:sig w:usb0="A00002BF" w:usb1="184F6CFA" w:usb2="00000012" w:usb3="00000000" w:csb0="00040001" w:csb1="00000000"/>
    <w:embedRegular r:id="rId6" w:fontKey="{0727FBCC-5405-43BC-98D8-871B9DF799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54B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351B">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0F4351B">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53DDBE85"/>
    <w:multiLevelType w:val="singleLevel"/>
    <w:tmpl w:val="53DDBE85"/>
    <w:lvl w:ilvl="0" w:tentative="0">
      <w:start w:val="1"/>
      <w:numFmt w:val="chineseCounting"/>
      <w:suff w:val="nothing"/>
      <w:lvlText w:val="（%1）"/>
      <w:lvlJc w:val="left"/>
      <w:pPr>
        <w:ind w:left="0" w:firstLine="420"/>
      </w:pPr>
      <w:rPr>
        <w:rFonts w:hint="eastAsia"/>
      </w:rPr>
    </w:lvl>
  </w:abstractNum>
  <w:abstractNum w:abstractNumId="2">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MjVhMWM2ZWQ2ZWRhMDdiYTZhMzBhZDIxZGMwYTEifQ=="/>
  </w:docVars>
  <w:rsids>
    <w:rsidRoot w:val="250E2FC7"/>
    <w:rsid w:val="00042087"/>
    <w:rsid w:val="0005437B"/>
    <w:rsid w:val="0008041B"/>
    <w:rsid w:val="00093D5D"/>
    <w:rsid w:val="00164C26"/>
    <w:rsid w:val="00232CF4"/>
    <w:rsid w:val="00434C70"/>
    <w:rsid w:val="00480376"/>
    <w:rsid w:val="00504AB0"/>
    <w:rsid w:val="006076BD"/>
    <w:rsid w:val="008F0D3B"/>
    <w:rsid w:val="00904FCE"/>
    <w:rsid w:val="009D0E1F"/>
    <w:rsid w:val="00A2617B"/>
    <w:rsid w:val="00A43AD7"/>
    <w:rsid w:val="00A92F6A"/>
    <w:rsid w:val="00AA5775"/>
    <w:rsid w:val="00AF1A75"/>
    <w:rsid w:val="00B3004E"/>
    <w:rsid w:val="00B46B92"/>
    <w:rsid w:val="00C46D05"/>
    <w:rsid w:val="00D05E7A"/>
    <w:rsid w:val="00D938F7"/>
    <w:rsid w:val="00E014C9"/>
    <w:rsid w:val="00EA0B2C"/>
    <w:rsid w:val="00EB60F1"/>
    <w:rsid w:val="00ED207F"/>
    <w:rsid w:val="00EF7DA6"/>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D76881"/>
    <w:rsid w:val="03E63D04"/>
    <w:rsid w:val="04245B63"/>
    <w:rsid w:val="05224E91"/>
    <w:rsid w:val="052D4EEB"/>
    <w:rsid w:val="054F3E94"/>
    <w:rsid w:val="05D15121"/>
    <w:rsid w:val="068B0E42"/>
    <w:rsid w:val="069074E0"/>
    <w:rsid w:val="06B01930"/>
    <w:rsid w:val="06EC66E0"/>
    <w:rsid w:val="07117EF5"/>
    <w:rsid w:val="07195727"/>
    <w:rsid w:val="073E7F19"/>
    <w:rsid w:val="076C35BE"/>
    <w:rsid w:val="076D7821"/>
    <w:rsid w:val="07753730"/>
    <w:rsid w:val="07EB38FC"/>
    <w:rsid w:val="07FD6DF7"/>
    <w:rsid w:val="08666242"/>
    <w:rsid w:val="08793F05"/>
    <w:rsid w:val="08D51B22"/>
    <w:rsid w:val="093305F6"/>
    <w:rsid w:val="093F2ABC"/>
    <w:rsid w:val="09FB55B8"/>
    <w:rsid w:val="0A187647"/>
    <w:rsid w:val="0A1E4E03"/>
    <w:rsid w:val="0A3208AE"/>
    <w:rsid w:val="0A58658E"/>
    <w:rsid w:val="0A5D3D18"/>
    <w:rsid w:val="0A7B473D"/>
    <w:rsid w:val="0A7C0731"/>
    <w:rsid w:val="0AA826D6"/>
    <w:rsid w:val="0AC3398A"/>
    <w:rsid w:val="0AD33E3F"/>
    <w:rsid w:val="0AFF4C34"/>
    <w:rsid w:val="0B642CE9"/>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C52821"/>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540E0F"/>
    <w:rsid w:val="1DB21FDA"/>
    <w:rsid w:val="1DCF66E8"/>
    <w:rsid w:val="1DED55CE"/>
    <w:rsid w:val="1E6C56B1"/>
    <w:rsid w:val="1ED56B8A"/>
    <w:rsid w:val="1EE91A2B"/>
    <w:rsid w:val="1EEE0DF0"/>
    <w:rsid w:val="1FEE7A64"/>
    <w:rsid w:val="201C7BDE"/>
    <w:rsid w:val="206C021E"/>
    <w:rsid w:val="20783C66"/>
    <w:rsid w:val="20C242E2"/>
    <w:rsid w:val="214711F8"/>
    <w:rsid w:val="21625F55"/>
    <w:rsid w:val="21F703DC"/>
    <w:rsid w:val="221C3EC6"/>
    <w:rsid w:val="22600256"/>
    <w:rsid w:val="226E2973"/>
    <w:rsid w:val="2271461B"/>
    <w:rsid w:val="22717D6E"/>
    <w:rsid w:val="228026A7"/>
    <w:rsid w:val="22F51456"/>
    <w:rsid w:val="23983A20"/>
    <w:rsid w:val="239F090A"/>
    <w:rsid w:val="23C6233B"/>
    <w:rsid w:val="24502527"/>
    <w:rsid w:val="249A09DF"/>
    <w:rsid w:val="250E2FC7"/>
    <w:rsid w:val="25D72B4E"/>
    <w:rsid w:val="26123616"/>
    <w:rsid w:val="262D044F"/>
    <w:rsid w:val="269404CF"/>
    <w:rsid w:val="26C802A5"/>
    <w:rsid w:val="26D905D7"/>
    <w:rsid w:val="26D94133"/>
    <w:rsid w:val="27501A47"/>
    <w:rsid w:val="276854B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C3835DF"/>
    <w:rsid w:val="2C8E6C87"/>
    <w:rsid w:val="2C9B7A28"/>
    <w:rsid w:val="2CC66F08"/>
    <w:rsid w:val="2CF41CC7"/>
    <w:rsid w:val="2D173C07"/>
    <w:rsid w:val="2D485B6F"/>
    <w:rsid w:val="2D526B23"/>
    <w:rsid w:val="2E07535D"/>
    <w:rsid w:val="2E304F81"/>
    <w:rsid w:val="2E5D734C"/>
    <w:rsid w:val="2F1A2EE6"/>
    <w:rsid w:val="2FA37B95"/>
    <w:rsid w:val="3014442E"/>
    <w:rsid w:val="305F38FB"/>
    <w:rsid w:val="30AE6631"/>
    <w:rsid w:val="31701B38"/>
    <w:rsid w:val="318F29B2"/>
    <w:rsid w:val="31BD2FCF"/>
    <w:rsid w:val="324E3C27"/>
    <w:rsid w:val="328F5FEE"/>
    <w:rsid w:val="32D257FE"/>
    <w:rsid w:val="333F21A7"/>
    <w:rsid w:val="335A0DFB"/>
    <w:rsid w:val="33B30709"/>
    <w:rsid w:val="34003B49"/>
    <w:rsid w:val="344418D4"/>
    <w:rsid w:val="344678F3"/>
    <w:rsid w:val="34C52339"/>
    <w:rsid w:val="34C72269"/>
    <w:rsid w:val="34CE54F3"/>
    <w:rsid w:val="34DD46B3"/>
    <w:rsid w:val="34F605A6"/>
    <w:rsid w:val="35411821"/>
    <w:rsid w:val="35EF24AB"/>
    <w:rsid w:val="360311CD"/>
    <w:rsid w:val="36814164"/>
    <w:rsid w:val="368220F2"/>
    <w:rsid w:val="368D6CE8"/>
    <w:rsid w:val="36B75CA4"/>
    <w:rsid w:val="37DC7F27"/>
    <w:rsid w:val="384652DA"/>
    <w:rsid w:val="38767769"/>
    <w:rsid w:val="391F631E"/>
    <w:rsid w:val="39967F45"/>
    <w:rsid w:val="39BC6E9D"/>
    <w:rsid w:val="3A141A1A"/>
    <w:rsid w:val="3A3E6C77"/>
    <w:rsid w:val="3A453773"/>
    <w:rsid w:val="3A5C35BA"/>
    <w:rsid w:val="3ABA3D4F"/>
    <w:rsid w:val="3ABB2076"/>
    <w:rsid w:val="3B00746F"/>
    <w:rsid w:val="3B60677A"/>
    <w:rsid w:val="3B952CE7"/>
    <w:rsid w:val="3BB645EB"/>
    <w:rsid w:val="3BFF0BA9"/>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6B3BF6"/>
    <w:rsid w:val="40BA692C"/>
    <w:rsid w:val="414C1C7A"/>
    <w:rsid w:val="41574984"/>
    <w:rsid w:val="416F6522"/>
    <w:rsid w:val="41BD66D4"/>
    <w:rsid w:val="41CA7043"/>
    <w:rsid w:val="41FC3266"/>
    <w:rsid w:val="423E004C"/>
    <w:rsid w:val="4253528A"/>
    <w:rsid w:val="427A45C5"/>
    <w:rsid w:val="432B3B11"/>
    <w:rsid w:val="4355293C"/>
    <w:rsid w:val="43BC4CB6"/>
    <w:rsid w:val="44054362"/>
    <w:rsid w:val="447F4114"/>
    <w:rsid w:val="451707F1"/>
    <w:rsid w:val="452151CC"/>
    <w:rsid w:val="45756F25"/>
    <w:rsid w:val="45806396"/>
    <w:rsid w:val="45917B29"/>
    <w:rsid w:val="45B778DE"/>
    <w:rsid w:val="45CA13BF"/>
    <w:rsid w:val="46014AC2"/>
    <w:rsid w:val="462705C0"/>
    <w:rsid w:val="46312452"/>
    <w:rsid w:val="467E5988"/>
    <w:rsid w:val="46E464B1"/>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8F5111"/>
    <w:rsid w:val="4D3A6E57"/>
    <w:rsid w:val="4D502AF2"/>
    <w:rsid w:val="4D73015B"/>
    <w:rsid w:val="4D901F9F"/>
    <w:rsid w:val="4E0F32CE"/>
    <w:rsid w:val="4E720529"/>
    <w:rsid w:val="4EAF55F6"/>
    <w:rsid w:val="4EB8263E"/>
    <w:rsid w:val="4ECB0C82"/>
    <w:rsid w:val="4F204746"/>
    <w:rsid w:val="4F227C49"/>
    <w:rsid w:val="4F7939E0"/>
    <w:rsid w:val="4FA9473B"/>
    <w:rsid w:val="50131BB5"/>
    <w:rsid w:val="503E7E98"/>
    <w:rsid w:val="507C64A1"/>
    <w:rsid w:val="50CE3319"/>
    <w:rsid w:val="50DF1601"/>
    <w:rsid w:val="51161B0F"/>
    <w:rsid w:val="513B781C"/>
    <w:rsid w:val="51556929"/>
    <w:rsid w:val="515C58A2"/>
    <w:rsid w:val="518E3BE9"/>
    <w:rsid w:val="52911BE2"/>
    <w:rsid w:val="52AF3E17"/>
    <w:rsid w:val="52CB2612"/>
    <w:rsid w:val="52ED2B91"/>
    <w:rsid w:val="534872B8"/>
    <w:rsid w:val="534A56F4"/>
    <w:rsid w:val="53AB1707"/>
    <w:rsid w:val="53B25189"/>
    <w:rsid w:val="53DB0C3B"/>
    <w:rsid w:val="541B3C32"/>
    <w:rsid w:val="54A83213"/>
    <w:rsid w:val="54DE3429"/>
    <w:rsid w:val="550A7A2A"/>
    <w:rsid w:val="557C6D43"/>
    <w:rsid w:val="55C027DF"/>
    <w:rsid w:val="55EC35D4"/>
    <w:rsid w:val="56292132"/>
    <w:rsid w:val="566E649D"/>
    <w:rsid w:val="56BE6E44"/>
    <w:rsid w:val="5765363E"/>
    <w:rsid w:val="57743881"/>
    <w:rsid w:val="577575E6"/>
    <w:rsid w:val="57917F8F"/>
    <w:rsid w:val="580C4164"/>
    <w:rsid w:val="584B2834"/>
    <w:rsid w:val="58506D3B"/>
    <w:rsid w:val="589F0489"/>
    <w:rsid w:val="58BC728D"/>
    <w:rsid w:val="58E95F87"/>
    <w:rsid w:val="58F407FD"/>
    <w:rsid w:val="598202C2"/>
    <w:rsid w:val="59CA59DA"/>
    <w:rsid w:val="5A117165"/>
    <w:rsid w:val="5A425322"/>
    <w:rsid w:val="5A5359CF"/>
    <w:rsid w:val="5B4455B1"/>
    <w:rsid w:val="5B5E63DA"/>
    <w:rsid w:val="5B77749C"/>
    <w:rsid w:val="5BC85F49"/>
    <w:rsid w:val="5C433822"/>
    <w:rsid w:val="5C5060C3"/>
    <w:rsid w:val="5C534E4A"/>
    <w:rsid w:val="5C9207D9"/>
    <w:rsid w:val="5CA644DC"/>
    <w:rsid w:val="5CA70254"/>
    <w:rsid w:val="5D251816"/>
    <w:rsid w:val="5D4F6922"/>
    <w:rsid w:val="5DAF5613"/>
    <w:rsid w:val="5DD2630F"/>
    <w:rsid w:val="5DDE1A54"/>
    <w:rsid w:val="5DEA0290"/>
    <w:rsid w:val="5E3478C6"/>
    <w:rsid w:val="5E431B60"/>
    <w:rsid w:val="5E946D19"/>
    <w:rsid w:val="5EC462E1"/>
    <w:rsid w:val="5ED86344"/>
    <w:rsid w:val="5EE5382F"/>
    <w:rsid w:val="5F3758C0"/>
    <w:rsid w:val="5F42288E"/>
    <w:rsid w:val="5F565A06"/>
    <w:rsid w:val="5F645F89"/>
    <w:rsid w:val="5FB962D5"/>
    <w:rsid w:val="606C3347"/>
    <w:rsid w:val="60FB7EC1"/>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A23AF2"/>
    <w:rsid w:val="67C03263"/>
    <w:rsid w:val="685C1EF3"/>
    <w:rsid w:val="68A4505F"/>
    <w:rsid w:val="69623539"/>
    <w:rsid w:val="69B7787E"/>
    <w:rsid w:val="6A841BD5"/>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3141F7"/>
    <w:rsid w:val="6F394D3C"/>
    <w:rsid w:val="6F3C5AED"/>
    <w:rsid w:val="6FCD36D6"/>
    <w:rsid w:val="6FDB5DF3"/>
    <w:rsid w:val="6FF944CB"/>
    <w:rsid w:val="70C8281B"/>
    <w:rsid w:val="70DB700F"/>
    <w:rsid w:val="71150210"/>
    <w:rsid w:val="713003C1"/>
    <w:rsid w:val="71593474"/>
    <w:rsid w:val="717A163C"/>
    <w:rsid w:val="719E532A"/>
    <w:rsid w:val="72B666A4"/>
    <w:rsid w:val="73A95214"/>
    <w:rsid w:val="73C72E99"/>
    <w:rsid w:val="73CB617F"/>
    <w:rsid w:val="741D7737"/>
    <w:rsid w:val="74484CEF"/>
    <w:rsid w:val="744D3BE5"/>
    <w:rsid w:val="74732A9E"/>
    <w:rsid w:val="749A44CF"/>
    <w:rsid w:val="749B0247"/>
    <w:rsid w:val="74F57957"/>
    <w:rsid w:val="750741FE"/>
    <w:rsid w:val="75742F72"/>
    <w:rsid w:val="75B82733"/>
    <w:rsid w:val="76EE2C2B"/>
    <w:rsid w:val="775B7917"/>
    <w:rsid w:val="781400F4"/>
    <w:rsid w:val="78915BE9"/>
    <w:rsid w:val="78B673FD"/>
    <w:rsid w:val="78CC652A"/>
    <w:rsid w:val="78E75809"/>
    <w:rsid w:val="79295E21"/>
    <w:rsid w:val="793547C6"/>
    <w:rsid w:val="79686128"/>
    <w:rsid w:val="79883BFD"/>
    <w:rsid w:val="79CC3315"/>
    <w:rsid w:val="7A0D5743"/>
    <w:rsid w:val="7A170370"/>
    <w:rsid w:val="7A6510DB"/>
    <w:rsid w:val="7AA221E5"/>
    <w:rsid w:val="7AA664FD"/>
    <w:rsid w:val="7AB07CD4"/>
    <w:rsid w:val="7AF1296F"/>
    <w:rsid w:val="7B4B7D5D"/>
    <w:rsid w:val="7BE523A9"/>
    <w:rsid w:val="7BF02C26"/>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link w:val="23"/>
    <w:qFormat/>
    <w:uiPriority w:val="0"/>
    <w:pPr>
      <w:spacing w:before="340" w:after="330"/>
      <w:jc w:val="center"/>
      <w:outlineLvl w:val="0"/>
    </w:pPr>
    <w:rPr>
      <w:rFonts w:eastAsia="黑体"/>
      <w:kern w:val="44"/>
      <w:szCs w:val="44"/>
    </w:rPr>
  </w:style>
  <w:style w:type="paragraph" w:styleId="5">
    <w:name w:val="heading 3"/>
    <w:basedOn w:val="1"/>
    <w:next w:val="1"/>
    <w:qFormat/>
    <w:uiPriority w:val="0"/>
    <w:pPr>
      <w:spacing w:before="260" w:after="260"/>
      <w:outlineLvl w:val="2"/>
    </w:pPr>
    <w:rPr>
      <w:rFonts w:ascii="宋体" w:hAnsi="宋体"/>
      <w:szCs w:val="32"/>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outlineLvl w:val="0"/>
    </w:pPr>
    <w:rPr>
      <w:rFonts w:ascii="Arial" w:hAnsi="Arial" w:eastAsia="隶书" w:cs="Arial"/>
      <w:b/>
      <w:bCs/>
      <w:sz w:val="32"/>
      <w:szCs w:val="32"/>
    </w:rPr>
  </w:style>
  <w:style w:type="paragraph" w:styleId="7">
    <w:name w:val="Normal Indent"/>
    <w:basedOn w:val="1"/>
    <w:next w:val="1"/>
    <w:qFormat/>
    <w:uiPriority w:val="0"/>
    <w:pPr>
      <w:ind w:firstLine="420"/>
    </w:pPr>
    <w:rPr>
      <w:szCs w:val="20"/>
    </w:rPr>
  </w:style>
  <w:style w:type="paragraph" w:styleId="8">
    <w:name w:val="annotation text"/>
    <w:basedOn w:val="1"/>
    <w:link w:val="25"/>
    <w:qFormat/>
    <w:uiPriority w:val="0"/>
    <w:pPr>
      <w:jc w:val="left"/>
    </w:pPr>
  </w:style>
  <w:style w:type="paragraph" w:styleId="9">
    <w:name w:val="Body Text Indent"/>
    <w:basedOn w:val="1"/>
    <w:qFormat/>
    <w:uiPriority w:val="0"/>
    <w:pPr>
      <w:spacing w:line="200" w:lineRule="exact"/>
      <w:ind w:firstLine="301"/>
    </w:pPr>
    <w:rPr>
      <w:spacing w:val="-4"/>
      <w:sz w:val="18"/>
    </w:rPr>
  </w:style>
  <w:style w:type="paragraph" w:styleId="10">
    <w:name w:val="Plain Text"/>
    <w:basedOn w:val="1"/>
    <w:next w:val="6"/>
    <w:qFormat/>
    <w:uiPriority w:val="0"/>
    <w:rPr>
      <w:rFonts w:ascii="宋体" w:hAnsi="Courier New"/>
      <w:kern w:val="0"/>
      <w:sz w:val="20"/>
      <w:szCs w:val="21"/>
    </w:r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8"/>
    <w:next w:val="8"/>
    <w:link w:val="26"/>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样式 首行缩进:  2 字符"/>
    <w:basedOn w:val="1"/>
    <w:qFormat/>
    <w:uiPriority w:val="0"/>
    <w:pPr>
      <w:spacing w:line="400" w:lineRule="exact"/>
      <w:ind w:firstLine="200" w:firstLineChars="200"/>
    </w:pPr>
    <w:rPr>
      <w:rFonts w:cs="宋体"/>
      <w:sz w:val="24"/>
    </w:rPr>
  </w:style>
  <w:style w:type="paragraph" w:customStyle="1" w:styleId="21">
    <w:name w:val="Table Text"/>
    <w:basedOn w:val="1"/>
    <w:semiHidden/>
    <w:qFormat/>
    <w:uiPriority w:val="0"/>
    <w:rPr>
      <w:rFonts w:ascii="宋体" w:hAnsi="宋体" w:eastAsia="宋体" w:cs="宋体"/>
      <w:sz w:val="20"/>
      <w:szCs w:val="20"/>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标题 1 字符"/>
    <w:basedOn w:val="18"/>
    <w:link w:val="4"/>
    <w:qFormat/>
    <w:uiPriority w:val="0"/>
    <w:rPr>
      <w:rFonts w:eastAsia="黑体"/>
      <w:kern w:val="44"/>
      <w:szCs w:val="44"/>
    </w:rPr>
  </w:style>
  <w:style w:type="character" w:customStyle="1" w:styleId="24">
    <w:name w:val="批注框文本 字符"/>
    <w:basedOn w:val="18"/>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8"/>
    <w:link w:val="8"/>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15"/>
    <w:qFormat/>
    <w:uiPriority w:val="0"/>
    <w:rPr>
      <w:rFonts w:asciiTheme="minorHAnsi" w:hAnsiTheme="minorHAnsi" w:eastAsiaTheme="minorEastAsia" w:cstheme="minorBidi"/>
      <w:b/>
      <w:bCs/>
      <w:kern w:val="2"/>
      <w:sz w:val="21"/>
      <w:szCs w:val="24"/>
    </w:rPr>
  </w:style>
  <w:style w:type="paragraph" w:customStyle="1" w:styleId="2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1824</Words>
  <Characters>1870</Characters>
  <Lines>56</Lines>
  <Paragraphs>55</Paragraphs>
  <TotalTime>38</TotalTime>
  <ScaleCrop>false</ScaleCrop>
  <LinksUpToDate>false</LinksUpToDate>
  <CharactersWithSpaces>1881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2025-07-07T15:05:00Z</dcterms:created>
  <dc:creator>陌上。</dc:creator>
  <cp:lastModifiedBy>我爱熊猫</cp:lastModifiedBy>
  <cp:lastPrinted>2025-07-24T02:27:00Z</cp:lastPrinted>
  <dcterms:modified xsi:type="dcterms:W3CDTF">2025-07-29T08:25:03Z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04C2187E16B84112BDBBA1125531474C_13</vt:lpwstr>
  </property>
  <property fmtid="{D5CDD505-2E9C-101B-9397-08002B2CF9AE}" pid="4" name="KSOTemplateDocerSaveRecord">
    <vt:lpwstr>eyJoZGlkIjoiYzRlYzk2ZGE4ZTc3YmQ2YzUwOTE0NThjY2Q0NjA3YjEiLCJ1c2VySWQiOiIyMzc0MzQyMjEifQ==</vt:lpwstr>
  </property>
</Properties>
</file>