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3F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240" w:lineRule="auto"/>
        <w:ind w:left="0" w:firstLine="0"/>
        <w:jc w:val="center"/>
        <w:textAlignment w:val="baseline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中山大学附属第一医院广西医院</w:t>
      </w: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非</w:t>
      </w: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生鲜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类采购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及配送服务</w:t>
      </w:r>
      <w:r>
        <w:rPr>
          <w:rFonts w:hint="eastAsia" w:eastAsia="黑体" w:asciiTheme="minorEastAsia" w:hAnsiTheme="minorEastAsia" w:cstheme="min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评分标准</w:t>
      </w:r>
    </w:p>
    <w:p w14:paraId="51F6B4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400" w:lineRule="exact"/>
        <w:ind w:left="0" w:firstLine="0"/>
        <w:jc w:val="both"/>
        <w:textAlignment w:val="baseline"/>
        <w:rPr>
          <w:rFonts w:hint="default"/>
          <w:sz w:val="22"/>
          <w:szCs w:val="16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适用于：粮油类、饭盒和袋子类、调料和干杂类、杂货（洗洁精）、杂货（厨具）、日用品类、零食类、饮料类、奶类及奶制品类</w:t>
      </w:r>
    </w:p>
    <w:tbl>
      <w:tblPr>
        <w:tblStyle w:val="5"/>
        <w:tblpPr w:leftFromText="180" w:rightFromText="180" w:vertAnchor="text" w:horzAnchor="page" w:tblpX="1458" w:tblpY="282"/>
        <w:tblOverlap w:val="never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7473"/>
        <w:gridCol w:w="962"/>
      </w:tblGrid>
      <w:tr w14:paraId="4CD5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4783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74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208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BC25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分值</w:t>
            </w:r>
          </w:p>
        </w:tc>
      </w:tr>
      <w:tr w14:paraId="45FD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3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2517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一、价格评分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575B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818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价格分</w:t>
            </w:r>
          </w:p>
        </w:tc>
        <w:tc>
          <w:tcPr>
            <w:tcW w:w="7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3F62">
            <w:pPr>
              <w:widowControl/>
              <w:numPr>
                <w:ilvl w:val="-1"/>
                <w:numId w:val="0"/>
              </w:numPr>
              <w:wordWrap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定价规则</w:t>
            </w:r>
          </w:p>
          <w:p w14:paraId="45EAA8F1">
            <w:pPr>
              <w:widowControl/>
              <w:numPr>
                <w:ilvl w:val="-1"/>
                <w:numId w:val="0"/>
              </w:numPr>
              <w:wordWrap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报价方式：按下浮系数报价，实际结算价=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供货价格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×（1-下浮系数），合同期内下浮系数不变。</w:t>
            </w:r>
          </w:p>
          <w:p w14:paraId="13F618DF">
            <w:pPr>
              <w:numPr>
                <w:ilvl w:val="-1"/>
                <w:numId w:val="0"/>
              </w:numPr>
              <w:ind w:left="0" w:leftChars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评分规则 </w:t>
            </w:r>
          </w:p>
          <w:p w14:paraId="5507DAC8"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基准价：有效报价中最高下浮系数对应的报价（如A下浮20%，B下浮50%，则基准价为B的50%）。</w:t>
            </w:r>
          </w:p>
          <w:p w14:paraId="25313352">
            <w:pPr>
              <w:numPr>
                <w:ilvl w:val="0"/>
                <w:numId w:val="1"/>
              </w:numPr>
              <w:ind w:left="0" w:leftChars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得分计算：价格分 =（基准价下浮系数 /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下浮系数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）×35分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47EF2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如评审小组认定响应报价明显偏离市场合理区间，供应商需出具书面材料进行解释说明，经评审小组审核通过后方可视作有效报价，否则视作无效报价。</w:t>
            </w:r>
          </w:p>
          <w:p w14:paraId="7988ED01">
            <w:pPr>
              <w:widowControl/>
              <w:wordWrap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计算分值时，百分比按四舍五入原则，保留小数点后两位数。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E540">
            <w:pPr>
              <w:widowControl/>
              <w:wordWrap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42A3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3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0D78"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二、技术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服务分65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186F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263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供应货品安全措施</w:t>
            </w:r>
          </w:p>
          <w:p w14:paraId="0A6A73F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9EFF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评审小组根据供应商提供的供应货品安全措施内容方面进行评价。包括进货采购渠道、供应货品控制管理措施、供应货品质量标准、追溯方式等情况进行比较综合评分。</w:t>
            </w:r>
          </w:p>
          <w:p w14:paraId="2CC728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一档（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分）：对进货采购渠道虽有固定货源但不稳定，供应货品控制管理措施不完善，质量安全保证措施有针对性但不明显，无服务特点，方案基本完整、供应货品质量标准、追溯方式这几个方面描述简单或不完善；</w:t>
            </w:r>
          </w:p>
          <w:p w14:paraId="462ED3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二档（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分）：对进货采购渠道有固定货源且货源稳定，供应货品控制管理措施比较完善，质量安全保证措施有针对性但不突出，服务特点较明确，方案有一定的针对性，供应货品质量标准、追溯方式这几个方面描述较清晰、较详细；</w:t>
            </w:r>
          </w:p>
          <w:p w14:paraId="676BC7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三档（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分）：对进货采购渠道有固定货源且货源稳定，供应货品控制管理措施完善，质量安全保证措施比较有针对性和服务特点，方案较完整、较具体，供应货品质量标准、追溯方式这几个方面描述清晰，详细；</w:t>
            </w:r>
          </w:p>
          <w:p w14:paraId="01A0CC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四档（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分）：对进货采购渠道有固定货源且货源稳定充足，供应货品控制管理措施完善，质量安全保证措施有针对性和服务特点，方案完整、清晰、具体、科学、合理、切实可行，供应货品质量标准、追溯方式这几个方面全部描述清晰，详细。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024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1844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0296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3、配送方案</w:t>
            </w:r>
          </w:p>
        </w:tc>
        <w:tc>
          <w:tcPr>
            <w:tcW w:w="74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ED766">
            <w:pPr>
              <w:widowControl/>
              <w:wordWrap w:val="0"/>
              <w:ind w:firstLine="6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评审小组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在打分前根据各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的配送方案确定各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所属档次并打分，达不到一档要求的不得分。</w:t>
            </w:r>
          </w:p>
          <w:p w14:paraId="34D0393B">
            <w:pPr>
              <w:widowControl/>
              <w:wordWrap w:val="0"/>
              <w:ind w:firstLine="6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一档(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分)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配送服务方案基本满足要求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配送计划、配送路线、进度控制措施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、描述简单，基本保证配送服务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对问题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供应货品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发生紧急事件处理预案内容差、基本可行的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0CB732D9">
            <w:pPr>
              <w:widowControl/>
              <w:wordWrap w:val="0"/>
              <w:ind w:firstLine="64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二档(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分)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项目配送体系、供货时间安排合理，有较完善的配送服务方案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配送计划、配送路线、进度控制措施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，描述较详细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具体实施步骤和要求描述较详细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有具体的配送服务承诺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需提供承诺函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在保证配送服务业务外有机动人员用于对紧急事件处理，对配送及应急处理响应快，对问题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供应货品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发生紧急事件处理预案内容具体，有一定针对性;</w:t>
            </w:r>
          </w:p>
          <w:p w14:paraId="690A17CE">
            <w:pPr>
              <w:widowControl/>
              <w:wordWrap w:val="0"/>
              <w:ind w:firstLine="64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三档(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分)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配送工作体系健全完善，配送供货时间安排科学合理，针对项目实际情况，能提供全面细致、可靠的管理制度、配送服务方案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配送计划、配送路线、进度控制措施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，描述详细，具体实施步骤和要求描述全面，可行性强，充分优于本项目需求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具有明确有具体时间的配送服务承诺 （能承诺说明各个阶段工作安排）及被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评审小组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认可的增值服务承诺的，方案可行高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工作计划周密，人员配备充足，能提供合理的验收方案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对问题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供应货品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发生紧急事件处理预案内容的具体、全面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F25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 w14:paraId="7EF0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408A"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4、售后服务方案</w:t>
            </w:r>
          </w:p>
        </w:tc>
        <w:tc>
          <w:tcPr>
            <w:tcW w:w="7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36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评审小组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提供的售后服务方案（包括承诺如何确保按期按质按量供货、出现问题时如何采取相应的措施、如何保障后期服务等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售后服务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承诺函（格式自拟）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）内容进行打分：由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评审小组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在打分前根据各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的售后服务方案（对售后服务要求的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响应程度及提供的服务承诺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案、售后服务等措施）确定各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响应人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所属档次并打分，达不到一档要求的不得分。</w:t>
            </w:r>
          </w:p>
          <w:p w14:paraId="445B29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一档（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分）：承诺退换时间不超过 24 小时，服务承诺、措施、后期服务承诺较简单。</w:t>
            </w:r>
          </w:p>
          <w:p w14:paraId="5096E7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二档（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分）：承诺退换时间需 16 小时（含 16 小时），服务承诺、措施可行，后期服务承诺响应满足项目需求，货物出问题时，有相应的解决措施，并明确如何确保退换的货物符合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院方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需求。</w:t>
            </w:r>
          </w:p>
          <w:p w14:paraId="252B7E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三档（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分）：对因货物出现问题，而对发生紧急事件问题处理预案内容具体、全面，并承诺退换时 间在 8 小时内（含 8 小时），有健全、详细、高效的服务承诺、后期售后服务方式多样有效，措施得力，充分满足项目需求，包括售后服务监督和回访管理、台账管理、售后服务管理及售后服务措施（含对问题物料的处理及特殊情况的应急预案）、其他优惠措施、配送（物流）、货物分发方等方面措施等及其它服务计划，明确如何确保退换的货物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院方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需求，并配备专门人员为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院方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提供服务，确保接到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院方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通知后 1 小时内响应。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085B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</w:tr>
      <w:tr w14:paraId="6072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86C2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5、商务分</w:t>
            </w:r>
          </w:p>
        </w:tc>
        <w:tc>
          <w:tcPr>
            <w:tcW w:w="74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69B9">
            <w:pPr>
              <w:widowControl/>
              <w:wordWrap w:val="0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(1)业绩分(满分5分)响应人自 2022 年以来承担过类似供应货品配送业绩，每一个业绩得1分，满分5分。(响应文件中提供中标(成交)通知书或合同复印件，及合同发票复印件并加盖供应商公章，否则不得分)</w:t>
            </w:r>
          </w:p>
          <w:p w14:paraId="6E8AE038">
            <w:pPr>
              <w:widowControl/>
              <w:wordWrap w:val="0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(2)配送能力分(满分3分)。响应人拟投入本项目的配送车辆，每投入一辆普通货车或面包车或其他配送车辆的得1分，满分3分。（响应文件中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提供相关运输车辆的机动车行驶证复印件及运输车辆照片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供应商自有车辆的，提供车辆行驶证；车辆为租赁的，提供车辆行驶证及车辆租用合同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复印件。证明材料需加盖供应商公章，否则不得分）</w:t>
            </w:r>
          </w:p>
          <w:p w14:paraId="719085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（3）仓储设施分（满分2分），响应人有固定的仓储设施的得1分；同时仓库与经营场地一致的得1分（提供相关的租赁合同复印件或房产证明材料），满分2分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1A3F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</w:tr>
      <w:tr w14:paraId="706C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08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firstLine="480" w:firstLineChars="20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97DB"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100分</w:t>
            </w:r>
          </w:p>
        </w:tc>
      </w:tr>
    </w:tbl>
    <w:p w14:paraId="6F0BD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7B9F2"/>
    <w:multiLevelType w:val="singleLevel"/>
    <w:tmpl w:val="2517B9F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02C8B"/>
    <w:rsid w:val="02F45E3D"/>
    <w:rsid w:val="07172D00"/>
    <w:rsid w:val="07F02C8B"/>
    <w:rsid w:val="0DF552B5"/>
    <w:rsid w:val="0E5C76F2"/>
    <w:rsid w:val="1265326C"/>
    <w:rsid w:val="142267D9"/>
    <w:rsid w:val="145304E8"/>
    <w:rsid w:val="215018EE"/>
    <w:rsid w:val="24D42836"/>
    <w:rsid w:val="2FD15A0B"/>
    <w:rsid w:val="34726331"/>
    <w:rsid w:val="3AA86F88"/>
    <w:rsid w:val="528D47EC"/>
    <w:rsid w:val="5B922058"/>
    <w:rsid w:val="5E4F45E9"/>
    <w:rsid w:val="6FDD7AE5"/>
    <w:rsid w:val="71E81AC1"/>
    <w:rsid w:val="79D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2202</Words>
  <Characters>2241</Characters>
  <Lines>0</Lines>
  <Paragraphs>0</Paragraphs>
  <TotalTime>0</TotalTime>
  <ScaleCrop>false</ScaleCrop>
  <LinksUpToDate>false</LinksUpToDate>
  <CharactersWithSpaces>2264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2025-03-25T07:34:00Z</dcterms:created>
  <dc:creator>为人民服务</dc:creator>
  <cp:lastModifiedBy>秋秋</cp:lastModifiedBy>
  <dcterms:modified xsi:type="dcterms:W3CDTF">2025-05-09T10:14:24Z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FD9FA3E318EF43A7B04088A7DC5BE5D0_13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