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D75D6A">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中山大学附属第一医院广西医院</w:t>
      </w:r>
    </w:p>
    <w:p w14:paraId="024A3E96">
      <w:pPr>
        <w:spacing w:line="560" w:lineRule="exact"/>
        <w:jc w:val="center"/>
        <w:rPr>
          <w:b/>
          <w:bCs/>
          <w:sz w:val="28"/>
          <w:szCs w:val="28"/>
        </w:rPr>
      </w:pPr>
      <w:r>
        <w:rPr>
          <w:rFonts w:hint="eastAsia" w:ascii="黑体" w:hAnsi="黑体" w:eastAsia="黑体" w:cs="黑体"/>
          <w:b/>
          <w:bCs/>
          <w:sz w:val="44"/>
          <w:szCs w:val="44"/>
        </w:rPr>
        <w:t>伦理审查信息系统采购需求</w:t>
      </w:r>
      <w:r>
        <w:rPr>
          <w:rFonts w:hint="eastAsia" w:ascii="黑体" w:hAnsi="黑体" w:eastAsia="黑体" w:cs="黑体"/>
          <w:b/>
          <w:bCs/>
          <w:sz w:val="44"/>
          <w:szCs w:val="44"/>
          <w:lang w:val="en-US" w:eastAsia="zh-CN"/>
        </w:rPr>
        <w:t>及评分标准</w:t>
      </w:r>
    </w:p>
    <w:p w14:paraId="7555F5FC">
      <w:pPr>
        <w:numPr>
          <w:ilvl w:val="0"/>
          <w:numId w:val="1"/>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0A7B43D7">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采购单位：中山大学附属第一医院广西医院</w:t>
      </w:r>
    </w:p>
    <w:p w14:paraId="029D2D4F">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项目名称：伦理审查信息系统</w:t>
      </w:r>
    </w:p>
    <w:p w14:paraId="02B8F8B1">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项目地点：广西壮族自治区南宁市青秀区佛子岭路3号</w:t>
      </w:r>
    </w:p>
    <w:p w14:paraId="77BE652F">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采购预算：25万元</w:t>
      </w:r>
    </w:p>
    <w:p w14:paraId="28EB5BCD">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采购方式：院内磋商</w:t>
      </w:r>
    </w:p>
    <w:p w14:paraId="285396A6">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服务期限：采购合同签订之日起60个日历日内完成项目全部建设内容并交付上线。免费质保维护期为验收之日起3年。</w:t>
      </w:r>
    </w:p>
    <w:p w14:paraId="5A332B03">
      <w:pPr>
        <w:numPr>
          <w:ilvl w:val="0"/>
          <w:numId w:val="2"/>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服务内容：提升医院伦理审查水平和质量，建设伦理审查信息系统，联通临床试验信息化协同工作与管理服务平台，增强伦理审查和服务能力，提高审查效率，实现简化工作、强化流程管理、提高伦理审查管理水平的目标，切实保障受试者的权益和尊严。伦理审查信息系统业务范围覆盖全院具有临床试验的研究和人员，业务内容包括但不限于药物临床试验、医疗器械、科研项目、医疗新技术、临床研究新项目等伦理审查、指导和管理，具体参数见技术指标和配置。</w:t>
      </w:r>
    </w:p>
    <w:p w14:paraId="03EFD4DD">
      <w:pPr>
        <w:numPr>
          <w:ilvl w:val="0"/>
          <w:numId w:val="1"/>
        </w:numPr>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资质要求</w:t>
      </w:r>
    </w:p>
    <w:p w14:paraId="5A40BE8C">
      <w:pPr>
        <w:numPr>
          <w:ilvl w:val="0"/>
          <w:numId w:val="3"/>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具有国内独立法人资格，注册经营范围满足本项目内容的供应商。</w:t>
      </w:r>
    </w:p>
    <w:p w14:paraId="4ECFA0F8">
      <w:pPr>
        <w:numPr>
          <w:ilvl w:val="0"/>
          <w:numId w:val="3"/>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456C27F3">
      <w:pPr>
        <w:numPr>
          <w:ilvl w:val="0"/>
          <w:numId w:val="3"/>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本项目不接受联合体报名。</w:t>
      </w:r>
    </w:p>
    <w:p w14:paraId="725D4662">
      <w:pPr>
        <w:widowControl/>
        <w:kinsoku w:val="0"/>
        <w:autoSpaceDE w:val="0"/>
        <w:autoSpaceDN w:val="0"/>
        <w:adjustRightInd w:val="0"/>
        <w:snapToGrid w:val="0"/>
        <w:spacing w:line="360" w:lineRule="auto"/>
        <w:jc w:val="left"/>
        <w:textAlignment w:val="baseline"/>
        <w:rPr>
          <w:rFonts w:ascii="方正仿宋_GB2312" w:hAnsi="方正仿宋_GB2312" w:eastAsia="方正仿宋_GB2312" w:cs="方正仿宋_GB2312"/>
          <w:b/>
          <w:bCs/>
          <w:snapToGrid w:val="0"/>
          <w:kern w:val="0"/>
          <w:sz w:val="28"/>
          <w:szCs w:val="28"/>
        </w:rPr>
      </w:pPr>
    </w:p>
    <w:p w14:paraId="5BB0428D">
      <w:pPr>
        <w:widowControl/>
        <w:kinsoku w:val="0"/>
        <w:autoSpaceDE w:val="0"/>
        <w:autoSpaceDN w:val="0"/>
        <w:adjustRightInd w:val="0"/>
        <w:snapToGrid w:val="0"/>
        <w:spacing w:line="360" w:lineRule="auto"/>
        <w:jc w:val="left"/>
        <w:textAlignment w:val="baseline"/>
        <w:rPr>
          <w:rFonts w:ascii="仿宋_GB2312" w:hAnsi="仿宋_GB2312" w:eastAsia="仿宋_GB2312" w:cs="仿宋_GB2312"/>
          <w:b/>
          <w:bCs/>
          <w:sz w:val="28"/>
          <w:szCs w:val="28"/>
        </w:rPr>
      </w:pPr>
      <w:r>
        <w:rPr>
          <w:rFonts w:hint="eastAsia" w:ascii="方正仿宋_GB2312" w:hAnsi="方正仿宋_GB2312" w:eastAsia="方正仿宋_GB2312" w:cs="方正仿宋_GB2312"/>
          <w:b/>
          <w:bCs/>
          <w:snapToGrid w:val="0"/>
          <w:kern w:val="0"/>
          <w:sz w:val="28"/>
          <w:szCs w:val="28"/>
        </w:rPr>
        <w:t>三、</w:t>
      </w:r>
      <w:r>
        <w:rPr>
          <w:rFonts w:hint="eastAsia" w:ascii="仿宋_GB2312" w:hAnsi="仿宋_GB2312" w:eastAsia="仿宋_GB2312" w:cs="仿宋_GB2312"/>
          <w:b/>
          <w:bCs/>
          <w:sz w:val="28"/>
          <w:szCs w:val="28"/>
        </w:rPr>
        <w:t>技术指标和配置</w:t>
      </w:r>
    </w:p>
    <w:p w14:paraId="398BF498">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说明：带“▲”指标项为重要参数，负偏离时依相关评分准则内容作重点扣分处理。</w:t>
      </w:r>
    </w:p>
    <w:tbl>
      <w:tblPr>
        <w:tblStyle w:val="16"/>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285"/>
      </w:tblGrid>
      <w:tr w14:paraId="2134A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825" w:type="dxa"/>
          </w:tcPr>
          <w:p w14:paraId="6C9CB99B">
            <w:pPr>
              <w:rPr>
                <w:szCs w:val="21"/>
              </w:rPr>
            </w:pPr>
            <w:r>
              <w:rPr>
                <w:rFonts w:hint="eastAsia"/>
                <w:szCs w:val="21"/>
              </w:rPr>
              <w:t>名称</w:t>
            </w:r>
          </w:p>
        </w:tc>
        <w:tc>
          <w:tcPr>
            <w:tcW w:w="8285" w:type="dxa"/>
          </w:tcPr>
          <w:p w14:paraId="032A623F">
            <w:pPr>
              <w:ind w:firstLine="420"/>
              <w:rPr>
                <w:szCs w:val="21"/>
              </w:rPr>
            </w:pPr>
            <w:r>
              <w:rPr>
                <w:rFonts w:hint="eastAsia"/>
                <w:szCs w:val="21"/>
              </w:rPr>
              <w:t>功能描述</w:t>
            </w:r>
          </w:p>
        </w:tc>
      </w:tr>
      <w:tr w14:paraId="1750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14:paraId="658E0D5D">
            <w:pPr>
              <w:rPr>
                <w:szCs w:val="21"/>
              </w:rPr>
            </w:pPr>
            <w:r>
              <w:rPr>
                <w:rFonts w:hint="eastAsia"/>
                <w:szCs w:val="21"/>
              </w:rPr>
              <w:t>总体要求</w:t>
            </w:r>
          </w:p>
        </w:tc>
        <w:tc>
          <w:tcPr>
            <w:tcW w:w="8285" w:type="dxa"/>
          </w:tcPr>
          <w:p w14:paraId="1BE91D1B">
            <w:pPr>
              <w:ind w:firstLine="420"/>
              <w:rPr>
                <w:szCs w:val="21"/>
              </w:rPr>
            </w:pPr>
            <w:r>
              <w:rPr>
                <w:rFonts w:hint="eastAsia"/>
                <w:szCs w:val="21"/>
              </w:rPr>
              <w:t>▲1.用户工作站无需安装软件，仅通过IE、360、谷歌、搜狗、平板电脑、手机端浏览器便可直接访问。【须提供功能界面截图】</w:t>
            </w:r>
          </w:p>
        </w:tc>
      </w:tr>
      <w:tr w14:paraId="1D40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0DF5348">
            <w:pPr>
              <w:ind w:firstLine="420"/>
              <w:rPr>
                <w:szCs w:val="21"/>
              </w:rPr>
            </w:pPr>
          </w:p>
        </w:tc>
        <w:tc>
          <w:tcPr>
            <w:tcW w:w="8285" w:type="dxa"/>
          </w:tcPr>
          <w:p w14:paraId="233E36CD">
            <w:pPr>
              <w:ind w:firstLine="420"/>
              <w:rPr>
                <w:szCs w:val="21"/>
              </w:rPr>
            </w:pPr>
            <w:r>
              <w:rPr>
                <w:rFonts w:hint="eastAsia"/>
                <w:szCs w:val="21"/>
              </w:rPr>
              <w:t>2.系统必须是按功能组合在一起的模块化设计，并且保证任何模块的维护和更新都不影响其它模块，系统具有容错能力。</w:t>
            </w:r>
          </w:p>
        </w:tc>
      </w:tr>
      <w:tr w14:paraId="34AB5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12CC531">
            <w:pPr>
              <w:ind w:firstLine="420"/>
              <w:rPr>
                <w:szCs w:val="21"/>
              </w:rPr>
            </w:pPr>
          </w:p>
        </w:tc>
        <w:tc>
          <w:tcPr>
            <w:tcW w:w="8285" w:type="dxa"/>
          </w:tcPr>
          <w:p w14:paraId="6F12397C">
            <w:pPr>
              <w:ind w:firstLine="420"/>
              <w:rPr>
                <w:szCs w:val="21"/>
              </w:rPr>
            </w:pPr>
            <w:r>
              <w:rPr>
                <w:rFonts w:hint="eastAsia"/>
                <w:szCs w:val="21"/>
              </w:rPr>
              <w:t>3.系统用户界面友好，风格一致，操作简便，并提供针对界面的操作帮助系统。系统中所集成的不同模块应保持一致的操作界面、操作特性，其中包括控件外观、菜单布置、右键功能和功能键、热键布置、检索窗口、常见问题回复。</w:t>
            </w:r>
          </w:p>
        </w:tc>
      </w:tr>
      <w:tr w14:paraId="32879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69D3191">
            <w:pPr>
              <w:ind w:firstLine="420"/>
              <w:rPr>
                <w:szCs w:val="21"/>
              </w:rPr>
            </w:pPr>
          </w:p>
        </w:tc>
        <w:tc>
          <w:tcPr>
            <w:tcW w:w="8285" w:type="dxa"/>
          </w:tcPr>
          <w:p w14:paraId="6DB2D766">
            <w:pPr>
              <w:ind w:firstLine="420"/>
              <w:rPr>
                <w:szCs w:val="21"/>
              </w:rPr>
            </w:pPr>
            <w:r>
              <w:rPr>
                <w:rFonts w:hint="eastAsia"/>
                <w:szCs w:val="21"/>
              </w:rPr>
              <w:t>4充分保证数据安全性、完整性。系统需要提供基于用户名、密码的用户身份认证和分别基于角色、功能、组织架构的多维度用户权限管理功能。</w:t>
            </w:r>
          </w:p>
        </w:tc>
      </w:tr>
      <w:tr w14:paraId="6702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tcPr>
          <w:p w14:paraId="7BD88DF8">
            <w:pPr>
              <w:rPr>
                <w:szCs w:val="21"/>
              </w:rPr>
            </w:pPr>
            <w:r>
              <w:rPr>
                <w:rFonts w:hint="eastAsia"/>
                <w:szCs w:val="21"/>
              </w:rPr>
              <w:t>功能要求</w:t>
            </w:r>
          </w:p>
        </w:tc>
        <w:tc>
          <w:tcPr>
            <w:tcW w:w="8285" w:type="dxa"/>
          </w:tcPr>
          <w:p w14:paraId="047DC6CF">
            <w:pPr>
              <w:ind w:firstLine="420"/>
              <w:rPr>
                <w:szCs w:val="21"/>
              </w:rPr>
            </w:pPr>
            <w:r>
              <w:rPr>
                <w:rFonts w:hint="eastAsia"/>
                <w:szCs w:val="21"/>
              </w:rPr>
              <w:t>1.系统管理功能</w:t>
            </w:r>
          </w:p>
          <w:p w14:paraId="02625038">
            <w:pPr>
              <w:ind w:firstLine="420"/>
              <w:rPr>
                <w:szCs w:val="21"/>
              </w:rPr>
            </w:pPr>
            <w:r>
              <w:rPr>
                <w:rFonts w:hint="eastAsia"/>
                <w:szCs w:val="21"/>
              </w:rPr>
              <w:t>▲1.1角色管理：根据临床试验管理与实施的需要，进行功能操作角色的配置。分管理员、伦理委员、伦理秘书、研究者、申办方、独立顾问等角色，每人分配系统账号，以自己的账号登陆工作，分工明确，相互协作，各尽其职。研究者登陆可查看该科室下所有项目情况，申办方登陆仅可查看该账号下所提交的项目情况。为保障科室项目及各公司项目资料的保密性，防止他人未经授权登陆研究者账号，</w:t>
            </w:r>
            <w:r>
              <w:rPr>
                <w:rFonts w:hint="eastAsia"/>
                <w:b/>
                <w:bCs/>
                <w:szCs w:val="21"/>
              </w:rPr>
              <w:t>研究者登陆时可凭短信验证登陆</w:t>
            </w:r>
            <w:r>
              <w:rPr>
                <w:rFonts w:hint="eastAsia"/>
                <w:szCs w:val="21"/>
              </w:rPr>
              <w:t>，也可由研究者授权其他医生验证登陆。可开放或关闭此功能。【须提供功能界面截图】</w:t>
            </w:r>
          </w:p>
          <w:p w14:paraId="3C22297B">
            <w:pPr>
              <w:ind w:firstLine="420"/>
              <w:rPr>
                <w:szCs w:val="21"/>
              </w:rPr>
            </w:pPr>
            <w:r>
              <w:rPr>
                <w:rFonts w:hint="eastAsia"/>
                <w:szCs w:val="21"/>
              </w:rPr>
              <w:t>1.2系统账号管理：用户创建、修改、启用、停用管理。系统采用登录错误次数限制模式，即伦理系统每账号每天连续错误3次，账号就被锁定，每天如账号频繁登陆，账号也将被锁定，需伦理秘书解锁或者第二天重新登录。账号一个月无登录记录，将自动停用或取消账号。</w:t>
            </w:r>
          </w:p>
          <w:p w14:paraId="229412B9">
            <w:pPr>
              <w:ind w:firstLine="420"/>
              <w:rPr>
                <w:szCs w:val="21"/>
              </w:rPr>
            </w:pPr>
            <w:r>
              <w:rPr>
                <w:rFonts w:hint="eastAsia"/>
                <w:szCs w:val="21"/>
              </w:rPr>
              <w:t>1.3项目管理：项目开展后，可设置相关权限，因年度报告未交，伦理委员会给出“暂停/中止研究”批文等原因，可暂停受理某项目所有材料。待处理完遗留问题后，可解除限制。</w:t>
            </w:r>
          </w:p>
          <w:p w14:paraId="142E490B">
            <w:pPr>
              <w:ind w:firstLine="420"/>
              <w:rPr>
                <w:szCs w:val="21"/>
              </w:rPr>
            </w:pPr>
            <w:r>
              <w:rPr>
                <w:rFonts w:hint="eastAsia"/>
                <w:szCs w:val="21"/>
              </w:rPr>
              <w:t>▲1.4预约管理：来访需要提前预约，支持设置固定的时间可以预约。秘书确认后方可来访。【须提供功能界面截图】</w:t>
            </w:r>
          </w:p>
        </w:tc>
      </w:tr>
      <w:tr w14:paraId="3BCE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7F8C0776">
            <w:pPr>
              <w:ind w:firstLine="420"/>
              <w:rPr>
                <w:szCs w:val="21"/>
              </w:rPr>
            </w:pPr>
          </w:p>
        </w:tc>
        <w:tc>
          <w:tcPr>
            <w:tcW w:w="8285" w:type="dxa"/>
          </w:tcPr>
          <w:p w14:paraId="1C605ED6">
            <w:pPr>
              <w:ind w:firstLine="420"/>
              <w:rPr>
                <w:szCs w:val="21"/>
              </w:rPr>
            </w:pPr>
            <w:r>
              <w:rPr>
                <w:rFonts w:hint="eastAsia"/>
                <w:szCs w:val="21"/>
              </w:rPr>
              <w:t>2.授权管理功能</w:t>
            </w:r>
          </w:p>
          <w:p w14:paraId="4F94060A">
            <w:pPr>
              <w:ind w:firstLine="420"/>
              <w:rPr>
                <w:szCs w:val="21"/>
              </w:rPr>
            </w:pPr>
            <w:r>
              <w:rPr>
                <w:rFonts w:hint="eastAsia"/>
                <w:szCs w:val="21"/>
              </w:rPr>
              <w:t>用户可将自己的权限授予其他用户代替自己履行相关职责（业务操作）。</w:t>
            </w:r>
          </w:p>
        </w:tc>
      </w:tr>
      <w:tr w14:paraId="53A6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78C7EA3">
            <w:pPr>
              <w:ind w:firstLine="420"/>
              <w:rPr>
                <w:szCs w:val="21"/>
              </w:rPr>
            </w:pPr>
          </w:p>
        </w:tc>
        <w:tc>
          <w:tcPr>
            <w:tcW w:w="8285" w:type="dxa"/>
          </w:tcPr>
          <w:p w14:paraId="2A1FB6F8">
            <w:pPr>
              <w:ind w:firstLine="420"/>
              <w:rPr>
                <w:szCs w:val="21"/>
              </w:rPr>
            </w:pPr>
            <w:r>
              <w:rPr>
                <w:rFonts w:hint="eastAsia"/>
                <w:szCs w:val="21"/>
              </w:rPr>
              <w:t>3.信息发布与查阅功能</w:t>
            </w:r>
          </w:p>
          <w:p w14:paraId="59C4CA3A">
            <w:pPr>
              <w:ind w:firstLine="420"/>
              <w:rPr>
                <w:szCs w:val="21"/>
              </w:rPr>
            </w:pPr>
            <w:r>
              <w:rPr>
                <w:rFonts w:hint="eastAsia"/>
                <w:szCs w:val="21"/>
              </w:rPr>
              <w:t>3.1表单、模板下载：系统需满足临床试验各类表单、模板文件的在线发布下载与版本管理。</w:t>
            </w:r>
          </w:p>
          <w:p w14:paraId="17E81376">
            <w:pPr>
              <w:ind w:firstLine="420"/>
              <w:rPr>
                <w:szCs w:val="21"/>
              </w:rPr>
            </w:pPr>
            <w:r>
              <w:rPr>
                <w:rFonts w:hint="eastAsia"/>
                <w:szCs w:val="21"/>
              </w:rPr>
              <w:t>3.2制度法规在线阅览：伦理委员会对内发布的规章制度、SOP，对外发布的法律、法规、指南等文件，用户可在线浏览查看，并可展现用户的访问记录及访问量。</w:t>
            </w:r>
          </w:p>
          <w:p w14:paraId="1D61C872">
            <w:pPr>
              <w:ind w:firstLine="420"/>
              <w:rPr>
                <w:szCs w:val="21"/>
              </w:rPr>
            </w:pPr>
            <w:r>
              <w:rPr>
                <w:rFonts w:hint="eastAsia"/>
                <w:szCs w:val="21"/>
              </w:rPr>
              <w:t>▲3.3通知、公告、学术交流等信息发布：基于伦理委员会对临床研究管理需要，对于通知、公告、学术交流等信息的发布，需满足HTML编辑、图片上传、格式编辑等常用功能【须提供功能界面截图】。</w:t>
            </w:r>
          </w:p>
        </w:tc>
      </w:tr>
      <w:tr w14:paraId="4B2C6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F802E9E">
            <w:pPr>
              <w:ind w:firstLine="420"/>
              <w:rPr>
                <w:szCs w:val="21"/>
              </w:rPr>
            </w:pPr>
          </w:p>
        </w:tc>
        <w:tc>
          <w:tcPr>
            <w:tcW w:w="8285" w:type="dxa"/>
          </w:tcPr>
          <w:p w14:paraId="50A8B822">
            <w:pPr>
              <w:ind w:firstLine="420"/>
              <w:rPr>
                <w:szCs w:val="21"/>
              </w:rPr>
            </w:pPr>
            <w:r>
              <w:rPr>
                <w:rFonts w:hint="eastAsia"/>
                <w:szCs w:val="21"/>
              </w:rPr>
              <w:t>4.伦理审查功能</w:t>
            </w:r>
          </w:p>
          <w:p w14:paraId="46FBF92C">
            <w:pPr>
              <w:ind w:firstLine="420"/>
              <w:rPr>
                <w:szCs w:val="21"/>
              </w:rPr>
            </w:pPr>
            <w:r>
              <w:rPr>
                <w:rFonts w:hint="eastAsia"/>
                <w:szCs w:val="21"/>
              </w:rPr>
              <w:t>▲4.1伦理审查对象：伦理审查对象需满足临床试验各类表单（</w:t>
            </w:r>
            <w:r>
              <w:rPr>
                <w:rFonts w:hint="eastAsia"/>
                <w:b/>
                <w:bCs/>
                <w:szCs w:val="21"/>
              </w:rPr>
              <w:t>药物、器械、科研、新技术、诊疗行为等</w:t>
            </w:r>
            <w:r>
              <w:rPr>
                <w:rFonts w:hint="eastAsia"/>
                <w:szCs w:val="21"/>
              </w:rPr>
              <w:t>）以及其他研究的伦理审查。系统支持中文/英文申请表。【须提供功能界面截图】</w:t>
            </w:r>
          </w:p>
          <w:p w14:paraId="4BC51A08">
            <w:pPr>
              <w:ind w:firstLine="420"/>
              <w:rPr>
                <w:szCs w:val="21"/>
              </w:rPr>
            </w:pPr>
            <w:r>
              <w:rPr>
                <w:rFonts w:hint="eastAsia"/>
                <w:szCs w:val="21"/>
              </w:rPr>
              <w:t>4.2伦理审查方式：伦理审查方式需满足免除伦理审查、快速审查、会议审查、紧急会议审查等。</w:t>
            </w:r>
          </w:p>
          <w:p w14:paraId="43023DD4">
            <w:pPr>
              <w:ind w:firstLine="420"/>
              <w:rPr>
                <w:szCs w:val="21"/>
              </w:rPr>
            </w:pPr>
            <w:r>
              <w:rPr>
                <w:rFonts w:hint="eastAsia"/>
                <w:szCs w:val="21"/>
              </w:rPr>
              <w:t>4.3伦理审查类别：伦理审查类别需满足初始审查、修正案审查、年度/定期跟踪审查、安全性信息审查、违背方案审查、暂停/终止研究审查、研究完成审查、复审、重新审查、重新开始研究审查等。</w:t>
            </w:r>
          </w:p>
          <w:p w14:paraId="2C0B85A2">
            <w:pPr>
              <w:ind w:firstLine="420"/>
              <w:rPr>
                <w:szCs w:val="21"/>
              </w:rPr>
            </w:pPr>
            <w:r>
              <w:rPr>
                <w:rFonts w:hint="eastAsia"/>
                <w:szCs w:val="21"/>
              </w:rPr>
              <w:t>▲4.4伦理审查工作表：支持审查工作表基于审查要素、审查目的、研究类型的用户配置，审查工作表的配置必须支持审查要素的逐项填报(必填项)。【须提供功能界面截图】</w:t>
            </w:r>
          </w:p>
          <w:p w14:paraId="266DE40A">
            <w:pPr>
              <w:ind w:firstLine="420"/>
              <w:rPr>
                <w:szCs w:val="21"/>
              </w:rPr>
            </w:pPr>
            <w:r>
              <w:rPr>
                <w:rFonts w:hint="eastAsia"/>
                <w:szCs w:val="21"/>
              </w:rPr>
              <w:t>4.5审查文件：支持基于不同审查目的的审查文件类型、输入项等用户配置，在伦理申请时可自动加载并向申请人提供向导提示。</w:t>
            </w:r>
          </w:p>
          <w:p w14:paraId="128201E4">
            <w:pPr>
              <w:ind w:firstLine="420"/>
              <w:rPr>
                <w:szCs w:val="21"/>
              </w:rPr>
            </w:pPr>
            <w:r>
              <w:rPr>
                <w:rFonts w:hint="eastAsia"/>
                <w:szCs w:val="21"/>
              </w:rPr>
              <w:t>4.6伦理审查申请：支持各类研究项目和伦理审查类别的审查申请提交、审查文件上传与修改。</w:t>
            </w:r>
          </w:p>
          <w:p w14:paraId="7130DD19">
            <w:pPr>
              <w:ind w:firstLine="420"/>
              <w:rPr>
                <w:szCs w:val="21"/>
              </w:rPr>
            </w:pPr>
            <w:r>
              <w:rPr>
                <w:rFonts w:hint="eastAsia"/>
                <w:szCs w:val="21"/>
              </w:rPr>
              <w:t>4.7审查受理与处理：支持伦理秘书对各类审查申请的在线形式审查、受理、主审委员的指派、独立顾问咨询的发起等伦理审查受理与处理业务。发送受理通知或生成补充/修改材料通知，有常见问题回复选项，可设置常见回复用句。</w:t>
            </w:r>
            <w:r>
              <w:rPr>
                <w:rFonts w:hint="eastAsia"/>
                <w:b/>
                <w:bCs/>
                <w:szCs w:val="21"/>
              </w:rPr>
              <w:t>受理成功后送审文件能自动加防伪水印。</w:t>
            </w:r>
          </w:p>
          <w:p w14:paraId="43615E6D">
            <w:pPr>
              <w:ind w:firstLine="420"/>
              <w:rPr>
                <w:szCs w:val="21"/>
              </w:rPr>
            </w:pPr>
            <w:r>
              <w:rPr>
                <w:rFonts w:hint="eastAsia"/>
                <w:szCs w:val="21"/>
              </w:rPr>
              <w:t>4.8委员预审：针对会议审查项目，在预审窗口期内为上会委员提供审查项目送审材料的在线审阅。</w:t>
            </w:r>
          </w:p>
          <w:p w14:paraId="1B1621ED">
            <w:pPr>
              <w:ind w:firstLine="420"/>
              <w:rPr>
                <w:szCs w:val="21"/>
              </w:rPr>
            </w:pPr>
            <w:r>
              <w:rPr>
                <w:rFonts w:hint="eastAsia"/>
                <w:szCs w:val="21"/>
              </w:rPr>
              <w:t>4.9主审审查：支持伦理审查的主审审查并实现审查文件的在线审阅与工作表的在线填报、打印。</w:t>
            </w:r>
          </w:p>
          <w:p w14:paraId="22511CC9">
            <w:pPr>
              <w:ind w:firstLine="420"/>
              <w:rPr>
                <w:szCs w:val="21"/>
              </w:rPr>
            </w:pPr>
            <w:r>
              <w:rPr>
                <w:rFonts w:hint="eastAsia"/>
                <w:szCs w:val="21"/>
              </w:rPr>
              <w:t>4.10独立顾问咨询表：根据伦理审查的需要，支持添加独立顾问咨询表的咨询事项配置并实现在线咨询填报。</w:t>
            </w:r>
          </w:p>
          <w:p w14:paraId="720BEAA7">
            <w:pPr>
              <w:ind w:firstLine="420"/>
              <w:rPr>
                <w:szCs w:val="21"/>
              </w:rPr>
            </w:pPr>
            <w:r>
              <w:rPr>
                <w:rFonts w:hint="eastAsia"/>
                <w:szCs w:val="21"/>
              </w:rPr>
              <w:t>▲4.11伦理会议安排：支持伦理会议流程的会议通报项目（快速审查、免除审查、实地访查、受试者抱怨）、会议审查项目(初始审查、修正案审查、年度/定期跟踪审查、严重不良事件审查、违背方案审查、暂停/终止研究审查、研究完成审查、复审、重新审查、重新开始研究审查）的会议议程、系统支持向参会委员发送会议通知的功能。伦理会议所需的会议议程、会议记录、委员签到表、审查投票表等文件的自动生成与打印输出功能。投票过程中，支持纸质投票方式，便于习惯纸质方式的委员操作，也支持移动端（如手机、Pad、电脑等）投票，更加灵活便捷。委员投票信息会自动关联到每个项目的会议审查决定表中，支持会中投票结果的统计汇总。支持语音转文字识别软件将伦理委员会的提问与研究者答疑当场生成会议记录打印出来给主任委员签字，无需秘书会后整理本次会议记录，并可在下次会上确认前一次的会议内容。同时支持集成腾讯会议的功能，委员通过系统在线进行会议审查【须提供功能界面截图】</w:t>
            </w:r>
          </w:p>
          <w:p w14:paraId="011084D1">
            <w:pPr>
              <w:ind w:firstLine="420"/>
              <w:rPr>
                <w:szCs w:val="21"/>
              </w:rPr>
            </w:pPr>
            <w:r>
              <w:rPr>
                <w:rFonts w:hint="eastAsia"/>
                <w:szCs w:val="21"/>
              </w:rPr>
              <w:t>▲4.12实地访查管理：支持研究项目的实地访查信息记录与报告生成。并自动添加到伦理会议的会议通报或者会议审议中。【须提供功能界面截图】</w:t>
            </w:r>
          </w:p>
          <w:p w14:paraId="078E6B3F">
            <w:pPr>
              <w:ind w:firstLine="420"/>
              <w:rPr>
                <w:szCs w:val="21"/>
              </w:rPr>
            </w:pPr>
            <w:r>
              <w:rPr>
                <w:rFonts w:hint="eastAsia"/>
                <w:szCs w:val="21"/>
              </w:rPr>
              <w:t>▲4.13受试者抱怨管理：支持受试者抱怨的信息记录与报告生成。并可自动添加到伦理会议的会议通报或者会议审查议程中。【须提供功能界面截图】</w:t>
            </w:r>
          </w:p>
          <w:p w14:paraId="22428DFC">
            <w:pPr>
              <w:ind w:firstLine="420"/>
              <w:rPr>
                <w:szCs w:val="21"/>
              </w:rPr>
            </w:pPr>
            <w:r>
              <w:rPr>
                <w:rFonts w:hint="eastAsia"/>
                <w:szCs w:val="21"/>
              </w:rPr>
              <w:t>▲4.14审查表格、函件打印：系统需满足伦理审查各流程节点的申请表、审查工作表、审查意见函、伦理批件等各类文件的自动生成与打印。支持系统生成的所有文件的一键下载功能，能够按照项目受理号、项目编号一键下载【须提供功能界面截图】</w:t>
            </w:r>
          </w:p>
        </w:tc>
      </w:tr>
      <w:tr w14:paraId="25BC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46FA8BA">
            <w:pPr>
              <w:ind w:firstLine="420"/>
              <w:rPr>
                <w:szCs w:val="21"/>
              </w:rPr>
            </w:pPr>
          </w:p>
        </w:tc>
        <w:tc>
          <w:tcPr>
            <w:tcW w:w="8285" w:type="dxa"/>
          </w:tcPr>
          <w:p w14:paraId="084A9C64">
            <w:pPr>
              <w:ind w:firstLine="420"/>
              <w:rPr>
                <w:szCs w:val="21"/>
              </w:rPr>
            </w:pPr>
            <w:r>
              <w:rPr>
                <w:rFonts w:hint="eastAsia"/>
                <w:szCs w:val="21"/>
              </w:rPr>
              <w:t>5.资料备案管理功能</w:t>
            </w:r>
          </w:p>
          <w:p w14:paraId="1BEEE391">
            <w:pPr>
              <w:ind w:firstLine="420"/>
              <w:rPr>
                <w:szCs w:val="21"/>
              </w:rPr>
            </w:pPr>
            <w:r>
              <w:rPr>
                <w:rFonts w:hint="eastAsia"/>
                <w:szCs w:val="21"/>
              </w:rPr>
              <w:t>支持临床研究实施过程中的各类备案文件、补充材料的上传、存档管理。</w:t>
            </w:r>
          </w:p>
        </w:tc>
      </w:tr>
      <w:tr w14:paraId="53ED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218902A5">
            <w:pPr>
              <w:ind w:firstLine="420"/>
              <w:rPr>
                <w:szCs w:val="21"/>
              </w:rPr>
            </w:pPr>
          </w:p>
        </w:tc>
        <w:tc>
          <w:tcPr>
            <w:tcW w:w="8285" w:type="dxa"/>
          </w:tcPr>
          <w:p w14:paraId="095CCAD7">
            <w:pPr>
              <w:ind w:firstLine="420"/>
              <w:rPr>
                <w:szCs w:val="21"/>
              </w:rPr>
            </w:pPr>
            <w:r>
              <w:rPr>
                <w:rFonts w:hint="eastAsia"/>
                <w:szCs w:val="21"/>
              </w:rPr>
              <w:t>6.查询与提醒功能</w:t>
            </w:r>
          </w:p>
          <w:p w14:paraId="01584098">
            <w:pPr>
              <w:ind w:firstLine="420"/>
              <w:rPr>
                <w:szCs w:val="21"/>
              </w:rPr>
            </w:pPr>
            <w:r>
              <w:rPr>
                <w:rFonts w:hint="eastAsia"/>
                <w:szCs w:val="21"/>
              </w:rPr>
              <w:t>系统支持送审项目登记、审查项目查询、审查会议查询、审查类别查询、监督管理查询、审查方式查询、跟踪审查提醒、复审提醒、批件有效期提醒、会议提醒、办公室工作提醒。其中跟踪审查提醒秘书会看到按跟踪到期时间排序的项目清单。项目到期前1个月也会给申办者/研究者自动发送短信、邮件等提醒。系统通过在线消息通知、短信、邮件把各角色流程操作有机结合起来，即到一个节点就提醒对应的用户操作对应的事，不用像传统工作方式那样需要多次跟客户、主审委员、独立顾问电话或邮件进行沟通。</w:t>
            </w:r>
          </w:p>
        </w:tc>
      </w:tr>
      <w:tr w14:paraId="404B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6BB6F449">
            <w:pPr>
              <w:ind w:firstLine="420"/>
              <w:rPr>
                <w:szCs w:val="21"/>
              </w:rPr>
            </w:pPr>
          </w:p>
        </w:tc>
        <w:tc>
          <w:tcPr>
            <w:tcW w:w="8285" w:type="dxa"/>
          </w:tcPr>
          <w:p w14:paraId="36972DD8">
            <w:pPr>
              <w:ind w:firstLine="420"/>
              <w:rPr>
                <w:szCs w:val="21"/>
              </w:rPr>
            </w:pPr>
            <w:r>
              <w:rPr>
                <w:rFonts w:hint="eastAsia"/>
                <w:szCs w:val="21"/>
              </w:rPr>
              <w:t>▲7.统计功能</w:t>
            </w:r>
          </w:p>
          <w:p w14:paraId="5576EBEC">
            <w:pPr>
              <w:ind w:firstLine="420"/>
              <w:rPr>
                <w:szCs w:val="21"/>
              </w:rPr>
            </w:pPr>
            <w:r>
              <w:rPr>
                <w:rFonts w:hint="eastAsia"/>
                <w:szCs w:val="21"/>
              </w:rPr>
              <w:t>7.1根据伦理委员会的需要，可自动生成月度、季度、年度或者任意时间范围、任意内容（包括研究类别、研究科室、主要研究者、审查结果等）的伦理审查工作状况统计报告。项目信息数据分析基于多种统计分析模型以图+表形式展现，简洁明了。</w:t>
            </w:r>
          </w:p>
          <w:p w14:paraId="4D75FEF8">
            <w:pPr>
              <w:ind w:firstLine="420"/>
              <w:rPr>
                <w:szCs w:val="21"/>
              </w:rPr>
            </w:pPr>
            <w:r>
              <w:rPr>
                <w:rFonts w:hint="eastAsia"/>
                <w:szCs w:val="21"/>
              </w:rPr>
              <w:t>7.2系统支持平均审查周期、初审审查时间分布的统计查询【须提供功能界面截图】</w:t>
            </w:r>
          </w:p>
        </w:tc>
      </w:tr>
      <w:tr w14:paraId="3F00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87C6634">
            <w:pPr>
              <w:ind w:firstLine="420"/>
              <w:rPr>
                <w:szCs w:val="21"/>
              </w:rPr>
            </w:pPr>
          </w:p>
        </w:tc>
        <w:tc>
          <w:tcPr>
            <w:tcW w:w="8285" w:type="dxa"/>
          </w:tcPr>
          <w:p w14:paraId="10561F58">
            <w:pPr>
              <w:ind w:firstLine="420"/>
              <w:rPr>
                <w:szCs w:val="21"/>
              </w:rPr>
            </w:pPr>
            <w:r>
              <w:rPr>
                <w:rFonts w:hint="eastAsia"/>
                <w:szCs w:val="21"/>
              </w:rPr>
              <w:t>8.伦理审查批准文件的查阅功能</w:t>
            </w:r>
          </w:p>
          <w:p w14:paraId="63ABEAAB">
            <w:pPr>
              <w:ind w:firstLine="420"/>
              <w:rPr>
                <w:szCs w:val="21"/>
              </w:rPr>
            </w:pPr>
            <w:r>
              <w:rPr>
                <w:rFonts w:hint="eastAsia"/>
                <w:szCs w:val="21"/>
              </w:rPr>
              <w:t>对于伦理批准的研究方案、知情同意书等文件提供在线检索与查阅，仅限于主审委员对以往的审查项目查阅，其他委员无访问权限。</w:t>
            </w:r>
          </w:p>
        </w:tc>
      </w:tr>
      <w:tr w14:paraId="0AD3E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09A2296">
            <w:pPr>
              <w:ind w:firstLine="420"/>
              <w:rPr>
                <w:szCs w:val="21"/>
              </w:rPr>
            </w:pPr>
          </w:p>
        </w:tc>
        <w:tc>
          <w:tcPr>
            <w:tcW w:w="8285" w:type="dxa"/>
          </w:tcPr>
          <w:p w14:paraId="67D43D0A">
            <w:pPr>
              <w:ind w:firstLine="420"/>
              <w:rPr>
                <w:szCs w:val="21"/>
              </w:rPr>
            </w:pPr>
            <w:r>
              <w:rPr>
                <w:rFonts w:hint="eastAsia"/>
                <w:szCs w:val="21"/>
              </w:rPr>
              <w:t>9.日常管理功能</w:t>
            </w:r>
          </w:p>
          <w:p w14:paraId="686EA83E">
            <w:pPr>
              <w:ind w:firstLine="420"/>
              <w:rPr>
                <w:szCs w:val="21"/>
              </w:rPr>
            </w:pPr>
            <w:r>
              <w:rPr>
                <w:rFonts w:hint="eastAsia"/>
                <w:szCs w:val="21"/>
              </w:rPr>
              <w:t>支持伦理办公室日常工作在线记录，如公章使用、来访交流等。</w:t>
            </w:r>
          </w:p>
        </w:tc>
      </w:tr>
      <w:tr w14:paraId="32F8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4C4C35B">
            <w:pPr>
              <w:ind w:firstLine="420"/>
              <w:rPr>
                <w:szCs w:val="21"/>
              </w:rPr>
            </w:pPr>
          </w:p>
        </w:tc>
        <w:tc>
          <w:tcPr>
            <w:tcW w:w="8285" w:type="dxa"/>
          </w:tcPr>
          <w:p w14:paraId="738A6811">
            <w:pPr>
              <w:ind w:firstLine="420"/>
              <w:rPr>
                <w:szCs w:val="21"/>
              </w:rPr>
            </w:pPr>
            <w:r>
              <w:rPr>
                <w:rFonts w:hint="eastAsia"/>
                <w:szCs w:val="21"/>
              </w:rPr>
              <w:t>10.文件存档管理功能</w:t>
            </w:r>
          </w:p>
          <w:p w14:paraId="6FDBB682">
            <w:pPr>
              <w:ind w:firstLine="420"/>
              <w:rPr>
                <w:szCs w:val="21"/>
              </w:rPr>
            </w:pPr>
            <w:r>
              <w:rPr>
                <w:rFonts w:hint="eastAsia"/>
                <w:szCs w:val="21"/>
              </w:rPr>
              <w:t>支持备案文件及伦理审查过程文件，如修正案审查、年度/定期跟踪审查、安全性信息审查、违背方案审查、暂停/终止研究审查、研究完成审查、复审、重新审查、重新开始研究审查，在秘书填写该项目的受理号时能与该项目的其他伦理文件（初始审查）自动关联存档，方便秘书的档案管理。</w:t>
            </w:r>
          </w:p>
        </w:tc>
      </w:tr>
      <w:tr w14:paraId="036A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487E4A78">
            <w:pPr>
              <w:ind w:firstLine="420"/>
              <w:rPr>
                <w:szCs w:val="21"/>
              </w:rPr>
            </w:pPr>
          </w:p>
        </w:tc>
        <w:tc>
          <w:tcPr>
            <w:tcW w:w="8285" w:type="dxa"/>
          </w:tcPr>
          <w:p w14:paraId="751FD631">
            <w:pPr>
              <w:ind w:firstLine="420"/>
              <w:rPr>
                <w:szCs w:val="21"/>
              </w:rPr>
            </w:pPr>
            <w:r>
              <w:rPr>
                <w:rFonts w:hint="eastAsia"/>
                <w:szCs w:val="21"/>
              </w:rPr>
              <w:t>▲11.费用管理功能</w:t>
            </w:r>
          </w:p>
          <w:p w14:paraId="76D32D49">
            <w:pPr>
              <w:ind w:firstLine="420"/>
              <w:rPr>
                <w:szCs w:val="21"/>
              </w:rPr>
            </w:pPr>
            <w:r>
              <w:rPr>
                <w:rFonts w:hint="eastAsia"/>
                <w:szCs w:val="21"/>
              </w:rPr>
              <w:t>系统可以设置药物、器械、研究者发起审查收入细项，配置主审、独立顾问、参会委员的支出费用，自动计算每个项目的收入和支出清单，和根据人员来统计的支出清单。【须提供功能界面截图】</w:t>
            </w:r>
          </w:p>
        </w:tc>
      </w:tr>
      <w:tr w14:paraId="5E7E0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3A660284">
            <w:pPr>
              <w:ind w:firstLine="420"/>
              <w:rPr>
                <w:szCs w:val="21"/>
              </w:rPr>
            </w:pPr>
          </w:p>
        </w:tc>
        <w:tc>
          <w:tcPr>
            <w:tcW w:w="8285" w:type="dxa"/>
          </w:tcPr>
          <w:p w14:paraId="572C9761">
            <w:pPr>
              <w:ind w:firstLine="420"/>
              <w:rPr>
                <w:szCs w:val="21"/>
              </w:rPr>
            </w:pPr>
            <w:r>
              <w:rPr>
                <w:rFonts w:hint="eastAsia"/>
                <w:szCs w:val="21"/>
              </w:rPr>
              <w:t>12.简历及培训管理</w:t>
            </w:r>
          </w:p>
          <w:p w14:paraId="2D54DA98">
            <w:pPr>
              <w:ind w:firstLine="420"/>
              <w:rPr>
                <w:szCs w:val="21"/>
              </w:rPr>
            </w:pPr>
            <w:r>
              <w:rPr>
                <w:rFonts w:hint="eastAsia"/>
                <w:szCs w:val="21"/>
              </w:rPr>
              <w:t>系统中培训有派出培训、机构内部培训、培训信息查询。培训内容有主办单位、培训内容、地点、GCP/伦理培训、培训日期、培训天数、学时、有证书/无证书，可以对培训人员进行证书上传。支持委员简历管理与自动更新。</w:t>
            </w:r>
          </w:p>
        </w:tc>
      </w:tr>
      <w:tr w14:paraId="18A5B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56B7D13F">
            <w:pPr>
              <w:ind w:firstLine="420"/>
              <w:rPr>
                <w:szCs w:val="21"/>
              </w:rPr>
            </w:pPr>
          </w:p>
        </w:tc>
        <w:tc>
          <w:tcPr>
            <w:tcW w:w="8285" w:type="dxa"/>
          </w:tcPr>
          <w:p w14:paraId="64AA4E16">
            <w:pPr>
              <w:ind w:firstLine="420"/>
              <w:rPr>
                <w:szCs w:val="21"/>
              </w:rPr>
            </w:pPr>
            <w:r>
              <w:rPr>
                <w:rFonts w:hint="eastAsia"/>
                <w:szCs w:val="21"/>
              </w:rPr>
              <w:t>13.电子签名、登录查询和修改留痕</w:t>
            </w:r>
          </w:p>
          <w:p w14:paraId="4F2459BE">
            <w:pPr>
              <w:ind w:firstLine="420"/>
              <w:rPr>
                <w:szCs w:val="21"/>
              </w:rPr>
            </w:pPr>
            <w:r>
              <w:rPr>
                <w:rFonts w:hint="eastAsia"/>
                <w:szCs w:val="21"/>
              </w:rPr>
              <w:t>13.1系统每个过程操作记录电子签名，同时能够集成医院现有的CA电子签名及电子印章，具体以医院需求为准。</w:t>
            </w:r>
          </w:p>
          <w:p w14:paraId="412CAB30">
            <w:pPr>
              <w:ind w:firstLine="420"/>
              <w:rPr>
                <w:szCs w:val="21"/>
              </w:rPr>
            </w:pPr>
            <w:r>
              <w:rPr>
                <w:rFonts w:hint="eastAsia"/>
                <w:szCs w:val="21"/>
              </w:rPr>
              <w:t>13.2系统会记录每个用户登录的用户名称、IP地址、上线时间、下线时间等信息。</w:t>
            </w:r>
          </w:p>
          <w:p w14:paraId="1810B7F2">
            <w:pPr>
              <w:ind w:firstLine="420"/>
              <w:rPr>
                <w:szCs w:val="21"/>
              </w:rPr>
            </w:pPr>
            <w:r>
              <w:rPr>
                <w:rFonts w:hint="eastAsia"/>
                <w:szCs w:val="21"/>
              </w:rPr>
              <w:t>13.3系统会记录客户对项目名称、分期类别、申办者、主要研究者、CRO信息等主要内容的修改操作进行留痕记录，也会记录审查时主审委员调整的记录，方便后期检查时溯源查看。</w:t>
            </w:r>
          </w:p>
          <w:p w14:paraId="455D7707">
            <w:pPr>
              <w:ind w:firstLine="420"/>
              <w:rPr>
                <w:szCs w:val="21"/>
              </w:rPr>
            </w:pPr>
            <w:r>
              <w:rPr>
                <w:rFonts w:hint="eastAsia"/>
                <w:szCs w:val="21"/>
              </w:rPr>
              <w:t>▲13.4集成电子签名后，PI电子签名有二维码和链接两种模式，支持复制链接发送给PI，PI点击生成二维码扫码提交电子签名，送审文件方案文件等带电子签名水印【须提供功能界面截图】</w:t>
            </w:r>
          </w:p>
        </w:tc>
      </w:tr>
      <w:tr w14:paraId="5AC8C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4713529A">
            <w:pPr>
              <w:ind w:firstLine="420"/>
              <w:rPr>
                <w:szCs w:val="21"/>
              </w:rPr>
            </w:pPr>
          </w:p>
        </w:tc>
        <w:tc>
          <w:tcPr>
            <w:tcW w:w="8285" w:type="dxa"/>
          </w:tcPr>
          <w:p w14:paraId="4D00BC9B">
            <w:pPr>
              <w:ind w:firstLine="420"/>
              <w:rPr>
                <w:szCs w:val="21"/>
              </w:rPr>
            </w:pPr>
            <w:r>
              <w:rPr>
                <w:rFonts w:hint="eastAsia"/>
                <w:szCs w:val="21"/>
              </w:rPr>
              <w:t>14.表单内容多版本和修改功能</w:t>
            </w:r>
          </w:p>
          <w:p w14:paraId="2EBF1196">
            <w:pPr>
              <w:ind w:firstLine="420"/>
              <w:rPr>
                <w:szCs w:val="21"/>
              </w:rPr>
            </w:pPr>
            <w:r>
              <w:rPr>
                <w:rFonts w:hint="eastAsia"/>
                <w:szCs w:val="21"/>
              </w:rPr>
              <w:t>系统中所有的表单内容都是配置生成的，支持客户使用系统多年后随着SOP调整显示同一表单的不同版本，即历史项目显示和打印原样式，新项目用新的样式。对系统管理员培训后管理员可自行调整表单中的字段内容。</w:t>
            </w:r>
          </w:p>
        </w:tc>
      </w:tr>
      <w:tr w14:paraId="284F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6BEF9C1">
            <w:pPr>
              <w:ind w:firstLine="420"/>
              <w:rPr>
                <w:szCs w:val="21"/>
              </w:rPr>
            </w:pPr>
          </w:p>
        </w:tc>
        <w:tc>
          <w:tcPr>
            <w:tcW w:w="8285" w:type="dxa"/>
          </w:tcPr>
          <w:p w14:paraId="1E4922AD">
            <w:pPr>
              <w:ind w:firstLine="420"/>
              <w:rPr>
                <w:szCs w:val="21"/>
              </w:rPr>
            </w:pPr>
            <w:r>
              <w:rPr>
                <w:rFonts w:hint="eastAsia"/>
                <w:szCs w:val="21"/>
              </w:rPr>
              <w:t>▲15.年度工作报告</w:t>
            </w:r>
          </w:p>
          <w:p w14:paraId="65259DD1">
            <w:pPr>
              <w:ind w:firstLine="420"/>
              <w:rPr>
                <w:szCs w:val="21"/>
              </w:rPr>
            </w:pPr>
            <w:r>
              <w:rPr>
                <w:rFonts w:hint="eastAsia"/>
                <w:szCs w:val="21"/>
              </w:rPr>
              <w:t>系统能够自行生成符合NMPA要求的伦理委员会年度工作报告，包括伦理委员会人员名单、年度审查情况（审查类别、研究类别、年度审查决定类别汇总、年度初始审查决定类别汇总、监督管理、年度会议情况、平均审查周期）、年度培训情况等。【须提供功能界面截图】</w:t>
            </w:r>
          </w:p>
        </w:tc>
      </w:tr>
      <w:tr w14:paraId="7E16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15CFB410">
            <w:pPr>
              <w:ind w:firstLine="420"/>
              <w:rPr>
                <w:szCs w:val="21"/>
              </w:rPr>
            </w:pPr>
          </w:p>
        </w:tc>
        <w:tc>
          <w:tcPr>
            <w:tcW w:w="8285" w:type="dxa"/>
          </w:tcPr>
          <w:p w14:paraId="5664CA1B">
            <w:pPr>
              <w:ind w:firstLine="420"/>
              <w:rPr>
                <w:szCs w:val="21"/>
              </w:rPr>
            </w:pPr>
            <w:r>
              <w:rPr>
                <w:rFonts w:hint="eastAsia"/>
                <w:szCs w:val="21"/>
              </w:rPr>
              <w:t>16.历史数据导入</w:t>
            </w:r>
          </w:p>
          <w:p w14:paraId="11808181">
            <w:pPr>
              <w:ind w:firstLine="420"/>
              <w:rPr>
                <w:szCs w:val="21"/>
              </w:rPr>
            </w:pPr>
            <w:r>
              <w:rPr>
                <w:rFonts w:hint="eastAsia"/>
                <w:szCs w:val="21"/>
              </w:rPr>
              <w:t>系统应支持历史文书及既往数据的识别、迁入和导入操作，且提供人员支持数据文书的导入服务，保证伦理审查工作的连贯性和完整性。</w:t>
            </w:r>
          </w:p>
        </w:tc>
      </w:tr>
      <w:tr w14:paraId="458C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tcPr>
          <w:p w14:paraId="41E8C66F">
            <w:pPr>
              <w:ind w:firstLine="420"/>
              <w:rPr>
                <w:szCs w:val="21"/>
              </w:rPr>
            </w:pPr>
          </w:p>
        </w:tc>
        <w:tc>
          <w:tcPr>
            <w:tcW w:w="8285" w:type="dxa"/>
          </w:tcPr>
          <w:p w14:paraId="4A5A69E4">
            <w:pPr>
              <w:ind w:firstLine="420"/>
              <w:rPr>
                <w:szCs w:val="21"/>
              </w:rPr>
            </w:pPr>
            <w:r>
              <w:rPr>
                <w:rFonts w:hint="eastAsia"/>
                <w:szCs w:val="21"/>
              </w:rPr>
              <w:t>▲17.委员管理</w:t>
            </w:r>
          </w:p>
          <w:p w14:paraId="1877734D">
            <w:pPr>
              <w:ind w:firstLine="420"/>
              <w:rPr>
                <w:szCs w:val="21"/>
              </w:rPr>
            </w:pPr>
            <w:r>
              <w:rPr>
                <w:rFonts w:hint="eastAsia"/>
                <w:szCs w:val="21"/>
              </w:rPr>
              <w:t>提供伦理委员管理，包括委员专业、职业等信息管理，及委员委任时间、到期提醒管理，提供伦理委员出勤、审查工作统计功能，支持伦理委员个人或伦理秘书在线维护委员培训经历、证书等。【须提供功能界面截图】</w:t>
            </w:r>
          </w:p>
        </w:tc>
      </w:tr>
      <w:tr w14:paraId="6EEF2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Merge w:val="continue"/>
          </w:tcPr>
          <w:p w14:paraId="7CB1CD4C">
            <w:pPr>
              <w:ind w:firstLine="420"/>
              <w:rPr>
                <w:szCs w:val="21"/>
              </w:rPr>
            </w:pPr>
          </w:p>
        </w:tc>
        <w:tc>
          <w:tcPr>
            <w:tcW w:w="8285" w:type="dxa"/>
          </w:tcPr>
          <w:p w14:paraId="181ADD4E">
            <w:pPr>
              <w:ind w:firstLine="420"/>
              <w:rPr>
                <w:szCs w:val="21"/>
              </w:rPr>
            </w:pPr>
            <w:r>
              <w:rPr>
                <w:rFonts w:hint="eastAsia"/>
                <w:szCs w:val="21"/>
              </w:rPr>
              <w:t>▲18.平台操作</w:t>
            </w:r>
          </w:p>
          <w:p w14:paraId="0715CFF2">
            <w:pPr>
              <w:ind w:firstLine="420"/>
              <w:rPr>
                <w:szCs w:val="21"/>
              </w:rPr>
            </w:pPr>
            <w:r>
              <w:rPr>
                <w:rFonts w:hint="eastAsia"/>
                <w:szCs w:val="21"/>
              </w:rPr>
              <w:t>系统支持的平台操作有受理平台、处理平台、快速审查平台、会议审查平台、传达决定平台、文件存档平台，方便秘书在项目特别多的情况下按事件类型进行项目批量的操作【须提供功能界面截图】</w:t>
            </w:r>
          </w:p>
        </w:tc>
      </w:tr>
      <w:tr w14:paraId="4670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tcPr>
          <w:p w14:paraId="3197B1E2">
            <w:pPr>
              <w:rPr>
                <w:szCs w:val="21"/>
              </w:rPr>
            </w:pPr>
            <w:r>
              <w:rPr>
                <w:rFonts w:hint="eastAsia"/>
                <w:szCs w:val="21"/>
              </w:rPr>
              <w:t>接口</w:t>
            </w:r>
          </w:p>
        </w:tc>
        <w:tc>
          <w:tcPr>
            <w:tcW w:w="8285" w:type="dxa"/>
          </w:tcPr>
          <w:p w14:paraId="494C448A">
            <w:pPr>
              <w:rPr>
                <w:szCs w:val="21"/>
              </w:rPr>
            </w:pPr>
            <w:r>
              <w:rPr>
                <w:rFonts w:hint="eastAsia"/>
                <w:szCs w:val="21"/>
              </w:rPr>
              <w:t>与医院科研管理系统、试剂采购系统、OA系统、财务系统以及人力、生物样本库管理系统等系统对接，端口对接免费</w:t>
            </w:r>
          </w:p>
        </w:tc>
      </w:tr>
    </w:tbl>
    <w:p w14:paraId="26707978">
      <w:pPr>
        <w:pStyle w:val="2"/>
      </w:pPr>
    </w:p>
    <w:p w14:paraId="73F059F6">
      <w:pPr>
        <w:widowControl/>
        <w:kinsoku w:val="0"/>
        <w:autoSpaceDE w:val="0"/>
        <w:autoSpaceDN w:val="0"/>
        <w:adjustRightInd w:val="0"/>
        <w:snapToGrid w:val="0"/>
        <w:spacing w:line="360" w:lineRule="auto"/>
        <w:jc w:val="left"/>
        <w:textAlignment w:val="baseline"/>
        <w:rPr>
          <w:rFonts w:ascii="方正仿宋_GB2312" w:hAnsi="方正仿宋_GB2312" w:eastAsia="方正仿宋_GB2312" w:cs="方正仿宋_GB2312"/>
          <w:b/>
          <w:bCs/>
          <w:snapToGrid w:val="0"/>
          <w:color w:val="000000"/>
          <w:kern w:val="0"/>
          <w:sz w:val="28"/>
          <w:szCs w:val="28"/>
        </w:rPr>
      </w:pPr>
      <w:r>
        <w:rPr>
          <w:rFonts w:hint="eastAsia" w:ascii="方正仿宋_GB2312" w:hAnsi="方正仿宋_GB2312" w:eastAsia="方正仿宋_GB2312" w:cs="方正仿宋_GB2312"/>
          <w:b/>
          <w:bCs/>
          <w:snapToGrid w:val="0"/>
          <w:color w:val="000000"/>
          <w:kern w:val="0"/>
          <w:sz w:val="28"/>
          <w:szCs w:val="28"/>
        </w:rPr>
        <w:t>四、评分标准</w:t>
      </w:r>
    </w:p>
    <w:p w14:paraId="3863E895">
      <w:pPr>
        <w:widowControl/>
        <w:kinsoku w:val="0"/>
        <w:autoSpaceDE w:val="0"/>
        <w:autoSpaceDN w:val="0"/>
        <w:adjustRightInd w:val="0"/>
        <w:snapToGrid w:val="0"/>
        <w:spacing w:line="360" w:lineRule="auto"/>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技术分</w:t>
      </w:r>
      <w:r>
        <w:rPr>
          <w:rFonts w:hint="eastAsia" w:ascii="仿宋_GB2312" w:hAnsi="仿宋_GB2312" w:eastAsia="仿宋_GB2312" w:cs="仿宋_GB2312"/>
          <w:sz w:val="28"/>
          <w:szCs w:val="28"/>
        </w:rPr>
        <w:t>(50</w:t>
      </w:r>
      <w:r>
        <w:rPr>
          <w:rFonts w:hint="eastAsia" w:ascii="仿宋_GB2312" w:hAnsi="仿宋_GB2312" w:eastAsia="仿宋_GB2312" w:cs="仿宋_GB2312"/>
          <w:sz w:val="28"/>
          <w:szCs w:val="28"/>
          <w:lang w:val="zh-CN"/>
        </w:rPr>
        <w:t>分</w:t>
      </w:r>
      <w:r>
        <w:rPr>
          <w:rFonts w:hint="eastAsia" w:ascii="仿宋_GB2312" w:hAnsi="仿宋_GB2312" w:eastAsia="仿宋_GB2312" w:cs="仿宋_GB2312"/>
          <w:sz w:val="28"/>
          <w:szCs w:val="28"/>
        </w:rPr>
        <w:t>)及商务分（30分）</w:t>
      </w:r>
    </w:p>
    <w:tbl>
      <w:tblPr>
        <w:tblStyle w:val="16"/>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848"/>
        <w:gridCol w:w="709"/>
        <w:gridCol w:w="6693"/>
      </w:tblGrid>
      <w:tr w14:paraId="593B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3527B93">
            <w:pPr>
              <w:jc w:val="center"/>
              <w:rPr>
                <w:rFonts w:eastAsia="宋体"/>
                <w:b/>
                <w:bCs/>
                <w:szCs w:val="21"/>
              </w:rPr>
            </w:pPr>
            <w:r>
              <w:rPr>
                <w:rFonts w:hint="eastAsia"/>
                <w:szCs w:val="21"/>
              </w:rPr>
              <w:t>序号</w:t>
            </w:r>
          </w:p>
        </w:tc>
        <w:tc>
          <w:tcPr>
            <w:tcW w:w="848" w:type="dxa"/>
            <w:tcBorders>
              <w:top w:val="single" w:color="auto" w:sz="4" w:space="0"/>
              <w:left w:val="single" w:color="auto" w:sz="4" w:space="0"/>
              <w:bottom w:val="single" w:color="auto" w:sz="4" w:space="0"/>
              <w:right w:val="single" w:color="auto" w:sz="4" w:space="0"/>
            </w:tcBorders>
            <w:vAlign w:val="center"/>
          </w:tcPr>
          <w:p w14:paraId="3078C143">
            <w:pPr>
              <w:jc w:val="center"/>
              <w:rPr>
                <w:rFonts w:eastAsia="宋体"/>
                <w:b/>
                <w:bCs/>
                <w:szCs w:val="21"/>
              </w:rPr>
            </w:pPr>
            <w:r>
              <w:rPr>
                <w:rFonts w:hint="eastAsia"/>
                <w:szCs w:val="21"/>
              </w:rPr>
              <w:t>评分点名称</w:t>
            </w:r>
          </w:p>
        </w:tc>
        <w:tc>
          <w:tcPr>
            <w:tcW w:w="709" w:type="dxa"/>
            <w:tcBorders>
              <w:top w:val="single" w:color="auto" w:sz="4" w:space="0"/>
              <w:left w:val="single" w:color="auto" w:sz="4" w:space="0"/>
              <w:bottom w:val="single" w:color="auto" w:sz="4" w:space="0"/>
              <w:right w:val="single" w:color="auto" w:sz="4" w:space="0"/>
            </w:tcBorders>
            <w:vAlign w:val="center"/>
          </w:tcPr>
          <w:p w14:paraId="6887CA2A">
            <w:pPr>
              <w:jc w:val="center"/>
              <w:rPr>
                <w:rFonts w:eastAsia="宋体"/>
                <w:b/>
                <w:bCs/>
                <w:szCs w:val="21"/>
              </w:rPr>
            </w:pPr>
            <w:r>
              <w:rPr>
                <w:rFonts w:hint="eastAsia"/>
                <w:szCs w:val="21"/>
              </w:rPr>
              <w:t>分值</w:t>
            </w:r>
          </w:p>
        </w:tc>
        <w:tc>
          <w:tcPr>
            <w:tcW w:w="6693" w:type="dxa"/>
            <w:tcBorders>
              <w:top w:val="single" w:color="auto" w:sz="4" w:space="0"/>
              <w:left w:val="single" w:color="auto" w:sz="4" w:space="0"/>
              <w:bottom w:val="single" w:color="auto" w:sz="4" w:space="0"/>
              <w:right w:val="single" w:color="auto" w:sz="4" w:space="0"/>
            </w:tcBorders>
            <w:vAlign w:val="center"/>
          </w:tcPr>
          <w:p w14:paraId="3AD7A129">
            <w:pPr>
              <w:ind w:firstLine="420"/>
              <w:jc w:val="center"/>
              <w:rPr>
                <w:rFonts w:eastAsia="宋体"/>
                <w:b/>
                <w:bCs/>
                <w:szCs w:val="21"/>
              </w:rPr>
            </w:pPr>
            <w:r>
              <w:rPr>
                <w:rFonts w:hint="eastAsia"/>
                <w:szCs w:val="21"/>
              </w:rPr>
              <w:t>评审标准</w:t>
            </w:r>
          </w:p>
        </w:tc>
      </w:tr>
      <w:tr w14:paraId="188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Merge w:val="restart"/>
            <w:tcBorders>
              <w:top w:val="single" w:color="auto" w:sz="4" w:space="0"/>
              <w:left w:val="single" w:color="auto" w:sz="4" w:space="0"/>
              <w:bottom w:val="single" w:color="auto" w:sz="4" w:space="0"/>
              <w:right w:val="single" w:color="auto" w:sz="4" w:space="0"/>
            </w:tcBorders>
            <w:vAlign w:val="center"/>
          </w:tcPr>
          <w:p w14:paraId="56FAA423">
            <w:pPr>
              <w:rPr>
                <w:rFonts w:eastAsia="宋体"/>
                <w:szCs w:val="21"/>
              </w:rPr>
            </w:pPr>
            <w:r>
              <w:rPr>
                <w:rFonts w:hint="eastAsia"/>
                <w:szCs w:val="21"/>
              </w:rPr>
              <w:t>技术分（总分50分）</w:t>
            </w:r>
          </w:p>
        </w:tc>
        <w:tc>
          <w:tcPr>
            <w:tcW w:w="848" w:type="dxa"/>
            <w:tcBorders>
              <w:top w:val="single" w:color="auto" w:sz="4" w:space="0"/>
              <w:left w:val="single" w:color="auto" w:sz="4" w:space="0"/>
              <w:bottom w:val="single" w:color="auto" w:sz="4" w:space="0"/>
              <w:right w:val="single" w:color="auto" w:sz="4" w:space="0"/>
            </w:tcBorders>
            <w:vAlign w:val="center"/>
          </w:tcPr>
          <w:p w14:paraId="6B838FC8">
            <w:pPr>
              <w:rPr>
                <w:rFonts w:eastAsia="宋体"/>
                <w:szCs w:val="21"/>
              </w:rPr>
            </w:pPr>
            <w:r>
              <w:rPr>
                <w:rFonts w:hint="eastAsia"/>
                <w:szCs w:val="21"/>
              </w:rPr>
              <w:t>实施方案</w:t>
            </w:r>
          </w:p>
        </w:tc>
        <w:tc>
          <w:tcPr>
            <w:tcW w:w="709" w:type="dxa"/>
            <w:tcBorders>
              <w:top w:val="single" w:color="auto" w:sz="4" w:space="0"/>
              <w:left w:val="single" w:color="auto" w:sz="4" w:space="0"/>
              <w:bottom w:val="single" w:color="auto" w:sz="4" w:space="0"/>
              <w:right w:val="single" w:color="auto" w:sz="4" w:space="0"/>
            </w:tcBorders>
            <w:vAlign w:val="center"/>
          </w:tcPr>
          <w:p w14:paraId="2A0313CF">
            <w:pPr>
              <w:jc w:val="center"/>
              <w:rPr>
                <w:rFonts w:eastAsia="宋体"/>
                <w:szCs w:val="21"/>
              </w:rPr>
            </w:pPr>
            <w:r>
              <w:rPr>
                <w:rFonts w:hint="eastAsia"/>
                <w:szCs w:val="21"/>
              </w:rPr>
              <w:t>15</w:t>
            </w:r>
          </w:p>
        </w:tc>
        <w:tc>
          <w:tcPr>
            <w:tcW w:w="6693" w:type="dxa"/>
            <w:tcBorders>
              <w:top w:val="single" w:color="auto" w:sz="4" w:space="0"/>
              <w:left w:val="single" w:color="auto" w:sz="4" w:space="0"/>
              <w:bottom w:val="single" w:color="auto" w:sz="4" w:space="0"/>
              <w:right w:val="single" w:color="auto" w:sz="4" w:space="0"/>
            </w:tcBorders>
            <w:vAlign w:val="center"/>
          </w:tcPr>
          <w:p w14:paraId="223B8F62">
            <w:pPr>
              <w:rPr>
                <w:szCs w:val="21"/>
              </w:rPr>
            </w:pPr>
            <w:r>
              <w:rPr>
                <w:rFonts w:hint="eastAsia"/>
                <w:szCs w:val="21"/>
              </w:rPr>
              <w:t>评分内容：</w:t>
            </w:r>
          </w:p>
          <w:p w14:paraId="1E3A9788">
            <w:pPr>
              <w:rPr>
                <w:szCs w:val="21"/>
              </w:rPr>
            </w:pPr>
            <w:r>
              <w:rPr>
                <w:rFonts w:hint="eastAsia"/>
                <w:szCs w:val="21"/>
              </w:rPr>
              <w:t>（一）供应商提供的实施方案应当详细描述，包括：</w:t>
            </w:r>
          </w:p>
          <w:p w14:paraId="5AB42E1E">
            <w:pPr>
              <w:ind w:firstLine="420"/>
              <w:rPr>
                <w:szCs w:val="21"/>
              </w:rPr>
            </w:pPr>
            <w:r>
              <w:rPr>
                <w:rFonts w:hint="eastAsia"/>
                <w:szCs w:val="21"/>
              </w:rPr>
              <w:t>1、对项目服务需求的分析理解（重点难点）；</w:t>
            </w:r>
          </w:p>
          <w:p w14:paraId="6FB0DB2D">
            <w:pPr>
              <w:ind w:firstLine="420"/>
              <w:rPr>
                <w:szCs w:val="21"/>
              </w:rPr>
            </w:pPr>
            <w:r>
              <w:rPr>
                <w:rFonts w:hint="eastAsia"/>
                <w:szCs w:val="21"/>
              </w:rPr>
              <w:t>2、项目的详细方案审定；</w:t>
            </w:r>
          </w:p>
          <w:p w14:paraId="6B566297">
            <w:pPr>
              <w:ind w:firstLine="420"/>
              <w:rPr>
                <w:szCs w:val="21"/>
              </w:rPr>
            </w:pPr>
            <w:r>
              <w:rPr>
                <w:rFonts w:hint="eastAsia"/>
                <w:szCs w:val="21"/>
              </w:rPr>
              <w:t>3、项目的系统开发测试；</w:t>
            </w:r>
          </w:p>
          <w:p w14:paraId="5ACDD083">
            <w:pPr>
              <w:ind w:firstLine="420"/>
              <w:rPr>
                <w:szCs w:val="21"/>
              </w:rPr>
            </w:pPr>
            <w:r>
              <w:rPr>
                <w:rFonts w:hint="eastAsia"/>
                <w:szCs w:val="21"/>
              </w:rPr>
              <w:t>4、项目的培训方案；</w:t>
            </w:r>
          </w:p>
          <w:p w14:paraId="6DE1220A">
            <w:pPr>
              <w:ind w:firstLine="420"/>
              <w:rPr>
                <w:szCs w:val="21"/>
              </w:rPr>
            </w:pPr>
            <w:r>
              <w:rPr>
                <w:rFonts w:hint="eastAsia"/>
                <w:szCs w:val="21"/>
              </w:rPr>
              <w:t>5、项目的进度安排。</w:t>
            </w:r>
          </w:p>
          <w:p w14:paraId="13D0C47D">
            <w:pPr>
              <w:ind w:firstLine="420"/>
              <w:rPr>
                <w:szCs w:val="21"/>
              </w:rPr>
            </w:pPr>
            <w:r>
              <w:rPr>
                <w:rFonts w:hint="eastAsia"/>
                <w:szCs w:val="21"/>
              </w:rPr>
              <w:t>考察以上5点，满足得10分，满足任意4点得8分，满足任意3点得6分，满足任意2点得4分，满足任意1点得2分，未满足不得分。</w:t>
            </w:r>
          </w:p>
          <w:p w14:paraId="535C9D82">
            <w:pPr>
              <w:ind w:firstLine="420"/>
              <w:rPr>
                <w:szCs w:val="21"/>
              </w:rPr>
            </w:pPr>
            <w:bookmarkStart w:id="0" w:name="OLE_LINK15"/>
            <w:r>
              <w:rPr>
                <w:rFonts w:hint="eastAsia"/>
                <w:szCs w:val="21"/>
              </w:rPr>
              <w:t>（二）在此基础上，评委根据各供应商的具体响应内容按照量化的评审因素指标进一步评审：</w:t>
            </w:r>
          </w:p>
          <w:p w14:paraId="32B17D5B">
            <w:pPr>
              <w:ind w:firstLine="420"/>
              <w:rPr>
                <w:szCs w:val="21"/>
              </w:rPr>
            </w:pPr>
            <w:r>
              <w:rPr>
                <w:rFonts w:hint="eastAsia"/>
                <w:szCs w:val="21"/>
              </w:rPr>
              <w:t>1、供应商的实施方案分析准确，重点难点突出，具有针对性，且相关解决措施详尽、可操作性强的，得5分；</w:t>
            </w:r>
          </w:p>
          <w:p w14:paraId="0822D101">
            <w:pPr>
              <w:ind w:firstLine="420"/>
              <w:rPr>
                <w:szCs w:val="21"/>
              </w:rPr>
            </w:pPr>
            <w:r>
              <w:rPr>
                <w:rFonts w:hint="eastAsia"/>
                <w:szCs w:val="21"/>
              </w:rPr>
              <w:t>2、供应商的实施方案问题分析较准确，重点难点较突出，且相关解决措施较详尽、可操作性较强的，得3分；</w:t>
            </w:r>
          </w:p>
          <w:p w14:paraId="24621D07">
            <w:pPr>
              <w:ind w:firstLine="420"/>
              <w:rPr>
                <w:szCs w:val="21"/>
              </w:rPr>
            </w:pPr>
            <w:r>
              <w:rPr>
                <w:rFonts w:hint="eastAsia"/>
                <w:szCs w:val="21"/>
              </w:rPr>
              <w:t>3、供应商的实施方案问题分析较一般，内容有缺漏，重点难点不突出，且相关解决措施较简略、可操作性一般的，得2分；</w:t>
            </w:r>
          </w:p>
          <w:p w14:paraId="622AD4B1">
            <w:pPr>
              <w:ind w:firstLine="420"/>
              <w:rPr>
                <w:rFonts w:eastAsia="宋体"/>
                <w:szCs w:val="21"/>
              </w:rPr>
            </w:pPr>
            <w:r>
              <w:rPr>
                <w:rFonts w:hint="eastAsia"/>
                <w:szCs w:val="21"/>
              </w:rPr>
              <w:t>4、如方案中未体现实施方案的得0分。</w:t>
            </w:r>
            <w:bookmarkEnd w:id="0"/>
          </w:p>
        </w:tc>
      </w:tr>
      <w:tr w14:paraId="15A5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33967209">
            <w:pPr>
              <w:ind w:firstLine="420"/>
              <w:rPr>
                <w:szCs w:val="21"/>
              </w:rPr>
            </w:pPr>
          </w:p>
        </w:tc>
        <w:tc>
          <w:tcPr>
            <w:tcW w:w="848" w:type="dxa"/>
            <w:tcBorders>
              <w:top w:val="single" w:color="auto" w:sz="4" w:space="0"/>
              <w:left w:val="single" w:color="auto" w:sz="4" w:space="0"/>
              <w:bottom w:val="single" w:color="auto" w:sz="4" w:space="0"/>
              <w:right w:val="single" w:color="auto" w:sz="4" w:space="0"/>
            </w:tcBorders>
            <w:vAlign w:val="center"/>
          </w:tcPr>
          <w:p w14:paraId="2B375BCD">
            <w:pPr>
              <w:rPr>
                <w:rFonts w:eastAsia="宋体"/>
                <w:szCs w:val="21"/>
              </w:rPr>
            </w:pPr>
            <w:r>
              <w:rPr>
                <w:rFonts w:hint="eastAsia"/>
                <w:szCs w:val="21"/>
              </w:rPr>
              <w:t>质量保障措施及方案</w:t>
            </w:r>
          </w:p>
        </w:tc>
        <w:tc>
          <w:tcPr>
            <w:tcW w:w="709" w:type="dxa"/>
            <w:tcBorders>
              <w:top w:val="single" w:color="auto" w:sz="4" w:space="0"/>
              <w:left w:val="single" w:color="auto" w:sz="4" w:space="0"/>
              <w:bottom w:val="single" w:color="auto" w:sz="4" w:space="0"/>
              <w:right w:val="single" w:color="auto" w:sz="4" w:space="0"/>
            </w:tcBorders>
            <w:vAlign w:val="center"/>
          </w:tcPr>
          <w:p w14:paraId="15A75534">
            <w:pPr>
              <w:jc w:val="center"/>
              <w:rPr>
                <w:rFonts w:eastAsia="宋体"/>
                <w:szCs w:val="21"/>
              </w:rPr>
            </w:pPr>
            <w:r>
              <w:rPr>
                <w:rFonts w:hint="eastAsia"/>
                <w:szCs w:val="21"/>
              </w:rPr>
              <w:t>10</w:t>
            </w:r>
          </w:p>
        </w:tc>
        <w:tc>
          <w:tcPr>
            <w:tcW w:w="6693" w:type="dxa"/>
            <w:tcBorders>
              <w:top w:val="single" w:color="auto" w:sz="4" w:space="0"/>
              <w:left w:val="single" w:color="auto" w:sz="4" w:space="0"/>
              <w:bottom w:val="single" w:color="auto" w:sz="4" w:space="0"/>
              <w:right w:val="single" w:color="auto" w:sz="4" w:space="0"/>
            </w:tcBorders>
            <w:vAlign w:val="center"/>
          </w:tcPr>
          <w:p w14:paraId="5AADB9BB">
            <w:pPr>
              <w:rPr>
                <w:szCs w:val="21"/>
              </w:rPr>
            </w:pPr>
            <w:r>
              <w:rPr>
                <w:rFonts w:hint="eastAsia"/>
                <w:szCs w:val="21"/>
              </w:rPr>
              <w:t>评分内容：</w:t>
            </w:r>
          </w:p>
          <w:p w14:paraId="35AA0C98">
            <w:pPr>
              <w:ind w:firstLine="420"/>
              <w:rPr>
                <w:szCs w:val="21"/>
              </w:rPr>
            </w:pPr>
            <w:bookmarkStart w:id="1" w:name="OLE_LINK12"/>
            <w:r>
              <w:rPr>
                <w:rFonts w:hint="eastAsia"/>
                <w:szCs w:val="21"/>
              </w:rPr>
              <w:t>（一）提供质量保障措施及方案，内容包括：</w:t>
            </w:r>
          </w:p>
          <w:bookmarkEnd w:id="1"/>
          <w:p w14:paraId="016ECC5A">
            <w:pPr>
              <w:ind w:firstLine="420"/>
              <w:rPr>
                <w:szCs w:val="21"/>
              </w:rPr>
            </w:pPr>
            <w:r>
              <w:rPr>
                <w:rFonts w:hint="eastAsia"/>
                <w:szCs w:val="21"/>
              </w:rPr>
              <w:t>1、项目质量保障措施及方案；</w:t>
            </w:r>
          </w:p>
          <w:p w14:paraId="1D53A78A">
            <w:pPr>
              <w:ind w:firstLine="420"/>
              <w:rPr>
                <w:szCs w:val="21"/>
              </w:rPr>
            </w:pPr>
            <w:r>
              <w:rPr>
                <w:rFonts w:hint="eastAsia"/>
                <w:szCs w:val="21"/>
              </w:rPr>
              <w:t>2、项目团队安排；</w:t>
            </w:r>
          </w:p>
          <w:p w14:paraId="10910E2B">
            <w:pPr>
              <w:ind w:firstLine="420"/>
              <w:rPr>
                <w:szCs w:val="21"/>
              </w:rPr>
            </w:pPr>
            <w:r>
              <w:rPr>
                <w:rFonts w:hint="eastAsia"/>
                <w:szCs w:val="21"/>
              </w:rPr>
              <w:t>3、对突发事件的应急服务预案。</w:t>
            </w:r>
          </w:p>
          <w:p w14:paraId="5894D6FF">
            <w:pPr>
              <w:ind w:firstLine="420"/>
              <w:rPr>
                <w:szCs w:val="21"/>
              </w:rPr>
            </w:pPr>
            <w:bookmarkStart w:id="2" w:name="OLE_LINK13"/>
            <w:r>
              <w:rPr>
                <w:rFonts w:hint="eastAsia"/>
                <w:szCs w:val="21"/>
              </w:rPr>
              <w:t>考察以上3点，满足得6分，满足任意2点得4分，满足任意1点得1分，未满足不得分。</w:t>
            </w:r>
          </w:p>
          <w:bookmarkEnd w:id="2"/>
          <w:p w14:paraId="478A92B1">
            <w:pPr>
              <w:ind w:firstLine="420"/>
              <w:rPr>
                <w:szCs w:val="21"/>
              </w:rPr>
            </w:pPr>
            <w:r>
              <w:rPr>
                <w:rFonts w:hint="eastAsia"/>
                <w:szCs w:val="21"/>
              </w:rPr>
              <w:t>（二）在此基础上，评委根据各供应商的具体响应内容按照量化的评审因素指标进一步评审：</w:t>
            </w:r>
          </w:p>
          <w:p w14:paraId="0362618F">
            <w:pPr>
              <w:ind w:firstLine="420"/>
              <w:rPr>
                <w:szCs w:val="21"/>
              </w:rPr>
            </w:pPr>
            <w:bookmarkStart w:id="3" w:name="OLE_LINK14"/>
            <w:r>
              <w:rPr>
                <w:rFonts w:hint="eastAsia"/>
                <w:szCs w:val="21"/>
              </w:rPr>
              <w:t>1、质量保障措施及方案贴合项目需求；</w:t>
            </w:r>
          </w:p>
          <w:p w14:paraId="4105BC63">
            <w:pPr>
              <w:ind w:firstLine="420"/>
              <w:rPr>
                <w:szCs w:val="21"/>
              </w:rPr>
            </w:pPr>
            <w:r>
              <w:rPr>
                <w:rFonts w:hint="eastAsia"/>
                <w:szCs w:val="21"/>
              </w:rPr>
              <w:t>2、有明确的项目时间安排，明确质量保障团队，团队成员配备齐全，合理；</w:t>
            </w:r>
          </w:p>
          <w:p w14:paraId="38448A60">
            <w:pPr>
              <w:ind w:firstLine="420"/>
              <w:rPr>
                <w:szCs w:val="21"/>
              </w:rPr>
            </w:pPr>
            <w:r>
              <w:rPr>
                <w:rFonts w:hint="eastAsia"/>
                <w:szCs w:val="21"/>
              </w:rPr>
              <w:t>3、有合理可行的治疗保障监督管理方案、安全管理方案；</w:t>
            </w:r>
          </w:p>
          <w:p w14:paraId="69FB2E71">
            <w:pPr>
              <w:ind w:firstLine="420"/>
              <w:rPr>
                <w:szCs w:val="21"/>
              </w:rPr>
            </w:pPr>
            <w:r>
              <w:rPr>
                <w:rFonts w:hint="eastAsia"/>
                <w:szCs w:val="21"/>
              </w:rPr>
              <w:t>满足以上三项要求，加</w:t>
            </w:r>
            <w:r>
              <w:rPr>
                <w:rFonts w:hint="eastAsia"/>
                <w:szCs w:val="21"/>
                <w:lang w:val="en-US" w:eastAsia="zh-CN"/>
              </w:rPr>
              <w:t>4</w:t>
            </w:r>
            <w:r>
              <w:rPr>
                <w:rFonts w:hint="eastAsia"/>
                <w:szCs w:val="21"/>
              </w:rPr>
              <w:t>分。</w:t>
            </w:r>
          </w:p>
          <w:p w14:paraId="45B16C2A">
            <w:pPr>
              <w:ind w:firstLine="420"/>
              <w:rPr>
                <w:szCs w:val="21"/>
              </w:rPr>
            </w:pPr>
            <w:r>
              <w:rPr>
                <w:rFonts w:hint="eastAsia"/>
                <w:szCs w:val="21"/>
              </w:rPr>
              <w:t>满足以上两项要求，加3分。</w:t>
            </w:r>
          </w:p>
          <w:p w14:paraId="0D3FB591">
            <w:pPr>
              <w:ind w:firstLine="420"/>
              <w:rPr>
                <w:szCs w:val="21"/>
              </w:rPr>
            </w:pPr>
            <w:r>
              <w:rPr>
                <w:rFonts w:hint="eastAsia"/>
                <w:szCs w:val="21"/>
              </w:rPr>
              <w:t>满足以上一项要求，加1分。</w:t>
            </w:r>
          </w:p>
          <w:p w14:paraId="0785B885">
            <w:pPr>
              <w:ind w:firstLine="420"/>
              <w:rPr>
                <w:rFonts w:eastAsia="宋体"/>
                <w:szCs w:val="21"/>
              </w:rPr>
            </w:pPr>
            <w:r>
              <w:rPr>
                <w:rFonts w:hint="eastAsia"/>
                <w:szCs w:val="21"/>
              </w:rPr>
              <w:t>其它情况不加分。</w:t>
            </w:r>
            <w:bookmarkEnd w:id="3"/>
          </w:p>
        </w:tc>
      </w:tr>
      <w:tr w14:paraId="14A72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36EFC3EA">
            <w:pPr>
              <w:ind w:firstLine="420"/>
              <w:rPr>
                <w:szCs w:val="21"/>
              </w:rPr>
            </w:pPr>
          </w:p>
        </w:tc>
        <w:tc>
          <w:tcPr>
            <w:tcW w:w="848" w:type="dxa"/>
            <w:tcBorders>
              <w:top w:val="single" w:color="auto" w:sz="4" w:space="0"/>
              <w:left w:val="single" w:color="auto" w:sz="4" w:space="0"/>
              <w:bottom w:val="single" w:color="auto" w:sz="4" w:space="0"/>
              <w:right w:val="single" w:color="auto" w:sz="4" w:space="0"/>
            </w:tcBorders>
            <w:vAlign w:val="center"/>
          </w:tcPr>
          <w:p w14:paraId="03A1764A">
            <w:pPr>
              <w:rPr>
                <w:rFonts w:eastAsia="宋体"/>
                <w:szCs w:val="21"/>
              </w:rPr>
            </w:pPr>
            <w:bookmarkStart w:id="4" w:name="OLE_LINK17"/>
            <w:bookmarkStart w:id="5" w:name="OLE_LINK16"/>
            <w:r>
              <w:rPr>
                <w:rFonts w:hint="eastAsia"/>
                <w:szCs w:val="21"/>
              </w:rPr>
              <w:t>售后方案和服务承诺</w:t>
            </w:r>
            <w:bookmarkEnd w:id="4"/>
            <w:bookmarkEnd w:id="5"/>
          </w:p>
        </w:tc>
        <w:tc>
          <w:tcPr>
            <w:tcW w:w="709" w:type="dxa"/>
            <w:tcBorders>
              <w:top w:val="single" w:color="auto" w:sz="4" w:space="0"/>
              <w:left w:val="single" w:color="auto" w:sz="4" w:space="0"/>
              <w:bottom w:val="single" w:color="auto" w:sz="4" w:space="0"/>
              <w:right w:val="single" w:color="auto" w:sz="4" w:space="0"/>
            </w:tcBorders>
            <w:vAlign w:val="center"/>
          </w:tcPr>
          <w:p w14:paraId="5FA01DA0">
            <w:pPr>
              <w:jc w:val="center"/>
              <w:rPr>
                <w:rFonts w:eastAsia="宋体"/>
                <w:szCs w:val="21"/>
              </w:rPr>
            </w:pPr>
            <w:r>
              <w:rPr>
                <w:rFonts w:hint="eastAsia"/>
                <w:szCs w:val="21"/>
              </w:rPr>
              <w:t>8</w:t>
            </w:r>
          </w:p>
        </w:tc>
        <w:tc>
          <w:tcPr>
            <w:tcW w:w="6693" w:type="dxa"/>
            <w:tcBorders>
              <w:top w:val="single" w:color="auto" w:sz="4" w:space="0"/>
              <w:left w:val="single" w:color="auto" w:sz="4" w:space="0"/>
              <w:bottom w:val="single" w:color="auto" w:sz="4" w:space="0"/>
              <w:right w:val="single" w:color="auto" w:sz="4" w:space="0"/>
            </w:tcBorders>
            <w:vAlign w:val="center"/>
          </w:tcPr>
          <w:p w14:paraId="6E51ABD3">
            <w:pPr>
              <w:ind w:firstLine="420"/>
              <w:rPr>
                <w:szCs w:val="21"/>
              </w:rPr>
            </w:pPr>
            <w:r>
              <w:rPr>
                <w:rFonts w:hint="eastAsia"/>
                <w:szCs w:val="21"/>
              </w:rPr>
              <w:t>（一）根据供应商针对本项目提供内容包括</w:t>
            </w:r>
          </w:p>
          <w:p w14:paraId="758D0038">
            <w:pPr>
              <w:ind w:firstLine="420"/>
              <w:rPr>
                <w:szCs w:val="21"/>
              </w:rPr>
            </w:pPr>
            <w:r>
              <w:rPr>
                <w:rFonts w:hint="eastAsia"/>
                <w:szCs w:val="21"/>
              </w:rPr>
              <w:t>1、售后服务承诺；</w:t>
            </w:r>
          </w:p>
          <w:p w14:paraId="66056319">
            <w:pPr>
              <w:ind w:firstLine="420"/>
              <w:rPr>
                <w:szCs w:val="21"/>
              </w:rPr>
            </w:pPr>
            <w:r>
              <w:rPr>
                <w:rFonts w:hint="eastAsia"/>
                <w:szCs w:val="21"/>
              </w:rPr>
              <w:t>2、维护方案；</w:t>
            </w:r>
          </w:p>
          <w:p w14:paraId="602C6866">
            <w:pPr>
              <w:ind w:firstLine="420"/>
              <w:rPr>
                <w:szCs w:val="21"/>
              </w:rPr>
            </w:pPr>
            <w:r>
              <w:rPr>
                <w:rFonts w:hint="eastAsia"/>
                <w:szCs w:val="21"/>
              </w:rPr>
              <w:t>3、售后服务人员；</w:t>
            </w:r>
          </w:p>
          <w:p w14:paraId="79E8341C">
            <w:pPr>
              <w:ind w:firstLine="420"/>
              <w:rPr>
                <w:szCs w:val="21"/>
              </w:rPr>
            </w:pPr>
            <w:r>
              <w:rPr>
                <w:rFonts w:hint="eastAsia"/>
                <w:szCs w:val="21"/>
              </w:rPr>
              <w:t>4、售后服务支持的响应时效性情况。</w:t>
            </w:r>
          </w:p>
          <w:p w14:paraId="7D0A95AB">
            <w:pPr>
              <w:ind w:firstLine="420"/>
              <w:rPr>
                <w:szCs w:val="21"/>
              </w:rPr>
            </w:pPr>
            <w:r>
              <w:rPr>
                <w:rFonts w:hint="eastAsia"/>
                <w:szCs w:val="21"/>
              </w:rPr>
              <w:t>考察以上4</w:t>
            </w:r>
            <w:r>
              <w:rPr>
                <w:szCs w:val="21"/>
              </w:rPr>
              <w:t>点，满足得</w:t>
            </w:r>
            <w:r>
              <w:rPr>
                <w:rFonts w:hint="eastAsia"/>
                <w:szCs w:val="21"/>
              </w:rPr>
              <w:t>4</w:t>
            </w:r>
            <w:r>
              <w:rPr>
                <w:szCs w:val="21"/>
              </w:rPr>
              <w:t>分，满足任意</w:t>
            </w:r>
            <w:r>
              <w:rPr>
                <w:rFonts w:hint="eastAsia"/>
                <w:szCs w:val="21"/>
              </w:rPr>
              <w:t>3</w:t>
            </w:r>
            <w:r>
              <w:rPr>
                <w:szCs w:val="21"/>
              </w:rPr>
              <w:t>点得</w:t>
            </w:r>
            <w:r>
              <w:rPr>
                <w:rFonts w:hint="eastAsia"/>
                <w:szCs w:val="21"/>
              </w:rPr>
              <w:t>3</w:t>
            </w:r>
            <w:r>
              <w:rPr>
                <w:szCs w:val="21"/>
              </w:rPr>
              <w:t>分，满足任意</w:t>
            </w:r>
            <w:r>
              <w:rPr>
                <w:rFonts w:hint="eastAsia"/>
                <w:szCs w:val="21"/>
              </w:rPr>
              <w:t>2</w:t>
            </w:r>
            <w:r>
              <w:rPr>
                <w:szCs w:val="21"/>
              </w:rPr>
              <w:t>点得1分，满足任意</w:t>
            </w:r>
            <w:r>
              <w:rPr>
                <w:rFonts w:hint="eastAsia"/>
                <w:szCs w:val="21"/>
              </w:rPr>
              <w:t>1</w:t>
            </w:r>
            <w:r>
              <w:rPr>
                <w:szCs w:val="21"/>
              </w:rPr>
              <w:t>点</w:t>
            </w:r>
            <w:r>
              <w:rPr>
                <w:rFonts w:hint="eastAsia"/>
                <w:szCs w:val="21"/>
              </w:rPr>
              <w:t>及</w:t>
            </w:r>
            <w:r>
              <w:rPr>
                <w:szCs w:val="21"/>
              </w:rPr>
              <w:t>未满足不得分。</w:t>
            </w:r>
          </w:p>
          <w:p w14:paraId="1D5A1276">
            <w:pPr>
              <w:ind w:firstLine="420"/>
              <w:rPr>
                <w:szCs w:val="21"/>
              </w:rPr>
            </w:pPr>
            <w:r>
              <w:rPr>
                <w:rFonts w:hint="eastAsia"/>
                <w:szCs w:val="21"/>
              </w:rPr>
              <w:t>（二）在此基础上，评委根据各供应商的具体响应内容按照量化的评审因素指标进一步评审：</w:t>
            </w:r>
          </w:p>
          <w:p w14:paraId="5FE3241A">
            <w:pPr>
              <w:ind w:firstLine="420"/>
              <w:rPr>
                <w:szCs w:val="21"/>
              </w:rPr>
            </w:pPr>
            <w:r>
              <w:rPr>
                <w:rFonts w:hint="eastAsia"/>
                <w:szCs w:val="21"/>
              </w:rPr>
              <w:t>1、供应商的售后方案和服务承诺，可操作性强的，得4分；</w:t>
            </w:r>
          </w:p>
          <w:p w14:paraId="075E67E6">
            <w:pPr>
              <w:ind w:firstLine="420"/>
              <w:rPr>
                <w:szCs w:val="21"/>
              </w:rPr>
            </w:pPr>
            <w:r>
              <w:rPr>
                <w:rFonts w:hint="eastAsia"/>
                <w:szCs w:val="21"/>
              </w:rPr>
              <w:t>2、供应商的售后方案和服务承诺较准确，可操作性较强的，得2分；</w:t>
            </w:r>
          </w:p>
          <w:p w14:paraId="2DD54ED9">
            <w:pPr>
              <w:ind w:firstLine="420"/>
              <w:rPr>
                <w:szCs w:val="21"/>
              </w:rPr>
            </w:pPr>
            <w:r>
              <w:rPr>
                <w:rFonts w:hint="eastAsia"/>
                <w:szCs w:val="21"/>
              </w:rPr>
              <w:t>3、供应商的售后方案和服务承诺较一般，内容有缺漏，可操作性一般的，得1分；</w:t>
            </w:r>
          </w:p>
          <w:p w14:paraId="7D0B90D6">
            <w:pPr>
              <w:ind w:firstLine="420"/>
              <w:rPr>
                <w:szCs w:val="21"/>
              </w:rPr>
            </w:pPr>
            <w:r>
              <w:rPr>
                <w:rFonts w:hint="eastAsia"/>
                <w:szCs w:val="21"/>
              </w:rPr>
              <w:t>4、如售后方案和服务承诺未体现的得0分。</w:t>
            </w:r>
          </w:p>
        </w:tc>
      </w:tr>
      <w:tr w14:paraId="5137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Merge w:val="continue"/>
            <w:tcBorders>
              <w:top w:val="single" w:color="auto" w:sz="4" w:space="0"/>
              <w:left w:val="single" w:color="auto" w:sz="4" w:space="0"/>
              <w:bottom w:val="single" w:color="auto" w:sz="4" w:space="0"/>
              <w:right w:val="single" w:color="auto" w:sz="4" w:space="0"/>
            </w:tcBorders>
            <w:vAlign w:val="center"/>
          </w:tcPr>
          <w:p w14:paraId="7DF40CD4">
            <w:pPr>
              <w:ind w:firstLine="420"/>
              <w:rPr>
                <w:szCs w:val="21"/>
              </w:rPr>
            </w:pPr>
          </w:p>
        </w:tc>
        <w:tc>
          <w:tcPr>
            <w:tcW w:w="848" w:type="dxa"/>
            <w:tcBorders>
              <w:top w:val="single" w:color="auto" w:sz="4" w:space="0"/>
              <w:left w:val="single" w:color="auto" w:sz="4" w:space="0"/>
              <w:bottom w:val="single" w:color="auto" w:sz="4" w:space="0"/>
              <w:right w:val="single" w:color="auto" w:sz="4" w:space="0"/>
            </w:tcBorders>
            <w:vAlign w:val="center"/>
          </w:tcPr>
          <w:p w14:paraId="124799F4">
            <w:pPr>
              <w:rPr>
                <w:rFonts w:eastAsia="宋体"/>
                <w:szCs w:val="21"/>
              </w:rPr>
            </w:pPr>
            <w:r>
              <w:rPr>
                <w:rFonts w:hint="eastAsia"/>
                <w:szCs w:val="21"/>
              </w:rPr>
              <w:t>技术响应</w:t>
            </w:r>
          </w:p>
        </w:tc>
        <w:tc>
          <w:tcPr>
            <w:tcW w:w="709" w:type="dxa"/>
            <w:tcBorders>
              <w:top w:val="single" w:color="auto" w:sz="4" w:space="0"/>
              <w:left w:val="single" w:color="auto" w:sz="4" w:space="0"/>
              <w:bottom w:val="single" w:color="auto" w:sz="4" w:space="0"/>
              <w:right w:val="single" w:color="auto" w:sz="4" w:space="0"/>
            </w:tcBorders>
            <w:vAlign w:val="center"/>
          </w:tcPr>
          <w:p w14:paraId="44F4DFE3">
            <w:pPr>
              <w:jc w:val="center"/>
              <w:rPr>
                <w:rFonts w:eastAsia="宋体"/>
                <w:szCs w:val="21"/>
              </w:rPr>
            </w:pPr>
            <w:r>
              <w:rPr>
                <w:rFonts w:hint="eastAsia"/>
                <w:szCs w:val="21"/>
              </w:rPr>
              <w:t>17</w:t>
            </w:r>
          </w:p>
        </w:tc>
        <w:tc>
          <w:tcPr>
            <w:tcW w:w="6693" w:type="dxa"/>
            <w:tcBorders>
              <w:top w:val="single" w:color="auto" w:sz="4" w:space="0"/>
              <w:left w:val="single" w:color="auto" w:sz="4" w:space="0"/>
              <w:bottom w:val="single" w:color="auto" w:sz="4" w:space="0"/>
              <w:right w:val="single" w:color="auto" w:sz="4" w:space="0"/>
            </w:tcBorders>
            <w:vAlign w:val="center"/>
          </w:tcPr>
          <w:p w14:paraId="7F45E393">
            <w:pPr>
              <w:ind w:firstLine="420" w:firstLineChars="200"/>
              <w:rPr>
                <w:rFonts w:eastAsia="宋体"/>
                <w:szCs w:val="21"/>
              </w:rPr>
            </w:pPr>
            <w:r>
              <w:rPr>
                <w:rFonts w:hint="eastAsia"/>
                <w:szCs w:val="21"/>
                <w:lang w:bidi="ar"/>
              </w:rPr>
              <w:t>供应商根据采购需求文件中的技术指标进行逐条应答，并提供技术偏离表（未提供的视为负偏离）。</w:t>
            </w:r>
            <w:r>
              <w:rPr>
                <w:rFonts w:hint="eastAsia"/>
                <w:szCs w:val="21"/>
              </w:rPr>
              <w:t>评审委员会根据技术需求参数响应情况进行打分，各项技术参数指标及要求全部满足的得17分。标识“▲”的为重要条款，需要提供截图，每负偏离一项扣1.5分，扣完为止；其他条款每负偏离一项扣0.5分，扣完为止。</w:t>
            </w:r>
          </w:p>
        </w:tc>
      </w:tr>
      <w:tr w14:paraId="7DFF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Merge w:val="restart"/>
            <w:tcBorders>
              <w:top w:val="single" w:color="auto" w:sz="4" w:space="0"/>
              <w:left w:val="single" w:color="auto" w:sz="4" w:space="0"/>
              <w:right w:val="single" w:color="auto" w:sz="4" w:space="0"/>
            </w:tcBorders>
            <w:vAlign w:val="center"/>
          </w:tcPr>
          <w:p w14:paraId="347CD581">
            <w:pPr>
              <w:rPr>
                <w:rFonts w:eastAsia="宋体"/>
                <w:szCs w:val="21"/>
              </w:rPr>
            </w:pPr>
            <w:r>
              <w:rPr>
                <w:rFonts w:hint="eastAsia"/>
                <w:szCs w:val="21"/>
              </w:rPr>
              <w:t>商务标（总分30分）</w:t>
            </w:r>
          </w:p>
        </w:tc>
        <w:tc>
          <w:tcPr>
            <w:tcW w:w="848" w:type="dxa"/>
            <w:tcBorders>
              <w:top w:val="single" w:color="auto" w:sz="4" w:space="0"/>
              <w:left w:val="single" w:color="auto" w:sz="4" w:space="0"/>
              <w:bottom w:val="single" w:color="auto" w:sz="4" w:space="0"/>
              <w:right w:val="single" w:color="auto" w:sz="4" w:space="0"/>
            </w:tcBorders>
            <w:vAlign w:val="center"/>
          </w:tcPr>
          <w:p w14:paraId="4CE422D9">
            <w:pPr>
              <w:rPr>
                <w:rFonts w:eastAsia="宋体"/>
                <w:szCs w:val="21"/>
              </w:rPr>
            </w:pPr>
            <w:r>
              <w:rPr>
                <w:rFonts w:hint="eastAsia"/>
                <w:szCs w:val="21"/>
              </w:rPr>
              <w:t>供应商同类项目业绩情况</w:t>
            </w:r>
          </w:p>
        </w:tc>
        <w:tc>
          <w:tcPr>
            <w:tcW w:w="709" w:type="dxa"/>
            <w:tcBorders>
              <w:top w:val="single" w:color="auto" w:sz="4" w:space="0"/>
              <w:left w:val="single" w:color="auto" w:sz="4" w:space="0"/>
              <w:bottom w:val="single" w:color="auto" w:sz="4" w:space="0"/>
              <w:right w:val="single" w:color="auto" w:sz="4" w:space="0"/>
            </w:tcBorders>
            <w:vAlign w:val="center"/>
          </w:tcPr>
          <w:p w14:paraId="50E9CBBE">
            <w:pPr>
              <w:jc w:val="center"/>
              <w:rPr>
                <w:rFonts w:eastAsia="宋体"/>
                <w:szCs w:val="21"/>
              </w:rPr>
            </w:pPr>
            <w:r>
              <w:rPr>
                <w:rFonts w:hint="eastAsia"/>
                <w:szCs w:val="21"/>
              </w:rPr>
              <w:t>16</w:t>
            </w:r>
          </w:p>
        </w:tc>
        <w:tc>
          <w:tcPr>
            <w:tcW w:w="6693" w:type="dxa"/>
            <w:tcBorders>
              <w:top w:val="single" w:color="auto" w:sz="4" w:space="0"/>
              <w:left w:val="single" w:color="auto" w:sz="4" w:space="0"/>
              <w:bottom w:val="single" w:color="auto" w:sz="4" w:space="0"/>
              <w:right w:val="single" w:color="auto" w:sz="4" w:space="0"/>
            </w:tcBorders>
            <w:vAlign w:val="center"/>
          </w:tcPr>
          <w:p w14:paraId="04CDEAD2">
            <w:pPr>
              <w:rPr>
                <w:szCs w:val="21"/>
              </w:rPr>
            </w:pPr>
            <w:r>
              <w:rPr>
                <w:rFonts w:hint="eastAsia"/>
                <w:szCs w:val="21"/>
              </w:rPr>
              <w:t>评分内容：</w:t>
            </w:r>
          </w:p>
          <w:p w14:paraId="1A314120">
            <w:pPr>
              <w:ind w:firstLine="420" w:firstLineChars="200"/>
              <w:rPr>
                <w:szCs w:val="21"/>
              </w:rPr>
            </w:pPr>
            <w:r>
              <w:rPr>
                <w:rFonts w:hint="eastAsia"/>
                <w:szCs w:val="21"/>
              </w:rPr>
              <w:t>2021年1月1日至本项目报名截止日（以合同签订时间为准）供应商具有类似项目业绩，</w:t>
            </w:r>
            <w:r>
              <w:rPr>
                <w:rFonts w:hint="eastAsia"/>
              </w:rPr>
              <w:t>业绩应与本项目伦理系统需求相关</w:t>
            </w:r>
            <w:r>
              <w:rPr>
                <w:rFonts w:hint="eastAsia"/>
                <w:szCs w:val="21"/>
              </w:rPr>
              <w:t>。每提供1个项目案例得2分，最高得16分。提供盖章版合同、系统登陆页面和验收报告，三者齐全算一份，且提供的材料各项信息不得有任何遮挡。</w:t>
            </w:r>
          </w:p>
        </w:tc>
      </w:tr>
      <w:tr w14:paraId="63DAB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Merge w:val="continue"/>
            <w:tcBorders>
              <w:left w:val="single" w:color="auto" w:sz="4" w:space="0"/>
              <w:right w:val="single" w:color="auto" w:sz="4" w:space="0"/>
            </w:tcBorders>
            <w:vAlign w:val="center"/>
          </w:tcPr>
          <w:p w14:paraId="4AC06D10">
            <w:pPr>
              <w:ind w:firstLine="420"/>
              <w:rPr>
                <w:szCs w:val="21"/>
              </w:rPr>
            </w:pPr>
          </w:p>
        </w:tc>
        <w:tc>
          <w:tcPr>
            <w:tcW w:w="848" w:type="dxa"/>
            <w:tcBorders>
              <w:top w:val="single" w:color="auto" w:sz="4" w:space="0"/>
              <w:left w:val="single" w:color="auto" w:sz="4" w:space="0"/>
              <w:bottom w:val="single" w:color="auto" w:sz="4" w:space="0"/>
              <w:right w:val="single" w:color="auto" w:sz="4" w:space="0"/>
            </w:tcBorders>
            <w:vAlign w:val="center"/>
          </w:tcPr>
          <w:p w14:paraId="279A7AA2">
            <w:pPr>
              <w:rPr>
                <w:rFonts w:eastAsia="宋体"/>
                <w:szCs w:val="21"/>
              </w:rPr>
            </w:pPr>
            <w:r>
              <w:rPr>
                <w:rFonts w:hint="eastAsia"/>
                <w:szCs w:val="21"/>
              </w:rPr>
              <w:t>使用效果证明</w:t>
            </w:r>
          </w:p>
        </w:tc>
        <w:tc>
          <w:tcPr>
            <w:tcW w:w="709" w:type="dxa"/>
            <w:tcBorders>
              <w:top w:val="single" w:color="auto" w:sz="4" w:space="0"/>
              <w:left w:val="single" w:color="auto" w:sz="4" w:space="0"/>
              <w:bottom w:val="single" w:color="auto" w:sz="4" w:space="0"/>
              <w:right w:val="single" w:color="auto" w:sz="4" w:space="0"/>
            </w:tcBorders>
            <w:vAlign w:val="center"/>
          </w:tcPr>
          <w:p w14:paraId="229402CD">
            <w:pPr>
              <w:jc w:val="center"/>
              <w:rPr>
                <w:rFonts w:eastAsia="宋体"/>
                <w:szCs w:val="21"/>
              </w:rPr>
            </w:pPr>
            <w:r>
              <w:rPr>
                <w:rFonts w:hint="eastAsia"/>
                <w:szCs w:val="21"/>
              </w:rPr>
              <w:t>4</w:t>
            </w:r>
          </w:p>
        </w:tc>
        <w:tc>
          <w:tcPr>
            <w:tcW w:w="6693" w:type="dxa"/>
            <w:tcBorders>
              <w:top w:val="single" w:color="auto" w:sz="4" w:space="0"/>
              <w:left w:val="single" w:color="auto" w:sz="4" w:space="0"/>
              <w:bottom w:val="single" w:color="auto" w:sz="4" w:space="0"/>
              <w:right w:val="single" w:color="auto" w:sz="4" w:space="0"/>
            </w:tcBorders>
            <w:vAlign w:val="center"/>
          </w:tcPr>
          <w:p w14:paraId="290E6734">
            <w:pPr>
              <w:rPr>
                <w:szCs w:val="21"/>
              </w:rPr>
            </w:pPr>
            <w:r>
              <w:rPr>
                <w:rFonts w:hint="eastAsia"/>
                <w:szCs w:val="21"/>
              </w:rPr>
              <w:t>评分内容：</w:t>
            </w:r>
          </w:p>
          <w:p w14:paraId="75F7EDE5">
            <w:pPr>
              <w:ind w:firstLine="420" w:firstLineChars="200"/>
              <w:rPr>
                <w:szCs w:val="21"/>
              </w:rPr>
            </w:pPr>
            <w:r>
              <w:rPr>
                <w:rFonts w:hint="eastAsia"/>
                <w:szCs w:val="21"/>
              </w:rPr>
              <w:t>每提供一个类似项目（2021年1月1日至本项目报名截止日，以效果证明文件时间为准）使用效果合格证明文件（须加盖采购单位章或使用科室章），得2分；最高得4分。证明材料要求：</w:t>
            </w:r>
          </w:p>
          <w:p w14:paraId="287CCBC0">
            <w:pPr>
              <w:ind w:firstLine="420"/>
              <w:rPr>
                <w:szCs w:val="21"/>
              </w:rPr>
            </w:pPr>
            <w:r>
              <w:rPr>
                <w:rFonts w:hint="eastAsia"/>
                <w:szCs w:val="21"/>
              </w:rPr>
              <w:t>1、要求提供使用效果证明材料作为得分依据。</w:t>
            </w:r>
          </w:p>
          <w:p w14:paraId="3F522BFB">
            <w:pPr>
              <w:ind w:firstLine="420"/>
              <w:rPr>
                <w:rFonts w:eastAsia="宋体"/>
                <w:szCs w:val="21"/>
              </w:rPr>
            </w:pPr>
            <w:r>
              <w:rPr>
                <w:rFonts w:hint="eastAsia"/>
                <w:szCs w:val="21"/>
              </w:rPr>
              <w:t>2、以上资料均要求提供复印件或扫描件，原件备查。评分中出现无证明资料或评委无法凭所提供资料判断是否得分的情况，一律作不得分处理。</w:t>
            </w:r>
          </w:p>
        </w:tc>
      </w:tr>
      <w:tr w14:paraId="7FB7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Merge w:val="continue"/>
            <w:tcBorders>
              <w:left w:val="single" w:color="auto" w:sz="4" w:space="0"/>
              <w:right w:val="single" w:color="auto" w:sz="4" w:space="0"/>
            </w:tcBorders>
            <w:vAlign w:val="center"/>
          </w:tcPr>
          <w:p w14:paraId="5257BC0E">
            <w:pPr>
              <w:ind w:firstLine="420"/>
              <w:rPr>
                <w:szCs w:val="21"/>
              </w:rPr>
            </w:pPr>
          </w:p>
        </w:tc>
        <w:tc>
          <w:tcPr>
            <w:tcW w:w="848" w:type="dxa"/>
            <w:tcBorders>
              <w:top w:val="single" w:color="auto" w:sz="4" w:space="0"/>
              <w:left w:val="single" w:color="auto" w:sz="4" w:space="0"/>
              <w:bottom w:val="single" w:color="auto" w:sz="4" w:space="0"/>
              <w:right w:val="single" w:color="auto" w:sz="4" w:space="0"/>
            </w:tcBorders>
            <w:vAlign w:val="center"/>
          </w:tcPr>
          <w:p w14:paraId="2221FF85">
            <w:pPr>
              <w:rPr>
                <w:rFonts w:eastAsia="宋体"/>
                <w:szCs w:val="21"/>
              </w:rPr>
            </w:pPr>
            <w:r>
              <w:rPr>
                <w:rFonts w:hint="eastAsia"/>
                <w:szCs w:val="21"/>
              </w:rPr>
              <w:t>拟安排的项目负责人情况（仅限一人）</w:t>
            </w:r>
          </w:p>
        </w:tc>
        <w:tc>
          <w:tcPr>
            <w:tcW w:w="709" w:type="dxa"/>
            <w:tcBorders>
              <w:top w:val="single" w:color="auto" w:sz="4" w:space="0"/>
              <w:left w:val="single" w:color="auto" w:sz="4" w:space="0"/>
              <w:bottom w:val="single" w:color="auto" w:sz="4" w:space="0"/>
              <w:right w:val="single" w:color="auto" w:sz="4" w:space="0"/>
            </w:tcBorders>
            <w:vAlign w:val="center"/>
          </w:tcPr>
          <w:p w14:paraId="505DF551">
            <w:pPr>
              <w:jc w:val="center"/>
              <w:rPr>
                <w:rFonts w:eastAsia="宋体"/>
                <w:szCs w:val="21"/>
              </w:rPr>
            </w:pPr>
            <w:r>
              <w:rPr>
                <w:rFonts w:hint="eastAsia"/>
                <w:szCs w:val="21"/>
              </w:rPr>
              <w:t>3</w:t>
            </w:r>
          </w:p>
        </w:tc>
        <w:tc>
          <w:tcPr>
            <w:tcW w:w="6693" w:type="dxa"/>
            <w:tcBorders>
              <w:top w:val="single" w:color="auto" w:sz="4" w:space="0"/>
              <w:left w:val="single" w:color="auto" w:sz="4" w:space="0"/>
              <w:bottom w:val="single" w:color="auto" w:sz="4" w:space="0"/>
              <w:right w:val="single" w:color="auto" w:sz="4" w:space="0"/>
            </w:tcBorders>
            <w:vAlign w:val="center"/>
          </w:tcPr>
          <w:p w14:paraId="033739F2">
            <w:pPr>
              <w:rPr>
                <w:szCs w:val="21"/>
              </w:rPr>
            </w:pPr>
            <w:r>
              <w:rPr>
                <w:rFonts w:hint="eastAsia"/>
                <w:szCs w:val="21"/>
              </w:rPr>
              <w:t>评分内容：</w:t>
            </w:r>
          </w:p>
          <w:p w14:paraId="0F6F1AA4">
            <w:pPr>
              <w:rPr>
                <w:szCs w:val="21"/>
              </w:rPr>
            </w:pPr>
            <w:r>
              <w:rPr>
                <w:rFonts w:hint="eastAsia"/>
                <w:szCs w:val="21"/>
              </w:rPr>
              <w:t>拟安排项目负责人为供应商公司员工（以社保为准），否则本项不得分。</w:t>
            </w:r>
          </w:p>
          <w:p w14:paraId="4D680332">
            <w:pPr>
              <w:ind w:firstLine="420"/>
              <w:rPr>
                <w:szCs w:val="21"/>
              </w:rPr>
            </w:pPr>
            <w:r>
              <w:rPr>
                <w:rFonts w:hint="eastAsia"/>
                <w:szCs w:val="21"/>
              </w:rPr>
              <w:t>1、具有计算机类专业本科或以上学历，得1分；</w:t>
            </w:r>
          </w:p>
          <w:p w14:paraId="29DB3102">
            <w:pPr>
              <w:ind w:firstLine="420"/>
              <w:rPr>
                <w:szCs w:val="21"/>
              </w:rPr>
            </w:pPr>
            <w:r>
              <w:rPr>
                <w:rFonts w:hint="eastAsia"/>
                <w:szCs w:val="21"/>
                <w:lang w:val="en-US" w:eastAsia="zh-CN"/>
              </w:rPr>
              <w:t>2</w:t>
            </w:r>
            <w:r>
              <w:rPr>
                <w:rFonts w:hint="eastAsia"/>
                <w:szCs w:val="21"/>
              </w:rPr>
              <w:t>、具有GCP（Good Clinical Practice，药品临床试验管理规范）或药物临床实验质量管理规范（GCP）结业证书，得</w:t>
            </w:r>
            <w:r>
              <w:rPr>
                <w:rFonts w:hint="eastAsia"/>
                <w:szCs w:val="21"/>
                <w:lang w:val="en-US" w:eastAsia="zh-CN"/>
              </w:rPr>
              <w:t>2</w:t>
            </w:r>
            <w:r>
              <w:rPr>
                <w:rFonts w:hint="eastAsia"/>
                <w:szCs w:val="21"/>
              </w:rPr>
              <w:t>分。</w:t>
            </w:r>
          </w:p>
          <w:p w14:paraId="1E7D04D3">
            <w:pPr>
              <w:rPr>
                <w:szCs w:val="21"/>
              </w:rPr>
            </w:pPr>
            <w:r>
              <w:rPr>
                <w:rFonts w:hint="eastAsia"/>
                <w:szCs w:val="21"/>
              </w:rPr>
              <w:t>证明材料要求：</w:t>
            </w:r>
          </w:p>
          <w:p w14:paraId="46A13A24">
            <w:pPr>
              <w:ind w:firstLine="420"/>
              <w:rPr>
                <w:szCs w:val="21"/>
              </w:rPr>
            </w:pPr>
            <w:r>
              <w:rPr>
                <w:rFonts w:hint="eastAsia"/>
                <w:szCs w:val="21"/>
              </w:rPr>
              <w:t>1、提供通过供应商缴纳的近3个月中任1个月的社保证明作为本单位员工的证明依据。如供应商为新成立企业且成立时间不足一个月可提供情况说明或者证明材料亦视为符合。</w:t>
            </w:r>
          </w:p>
          <w:p w14:paraId="09939550">
            <w:pPr>
              <w:ind w:firstLine="420"/>
              <w:rPr>
                <w:rFonts w:eastAsia="宋体"/>
                <w:szCs w:val="21"/>
              </w:rPr>
            </w:pPr>
            <w:r>
              <w:rPr>
                <w:rFonts w:hint="eastAsia"/>
                <w:szCs w:val="21"/>
              </w:rPr>
              <w:t>2、提供项目负责人的学历证书及学信网查询截图、相关证书作为得分依据。对于较早颁发的学历、学位证书，学信网无法查询的，除要求提供证书复印件或扫描件，需要提供其他佐证材料（如毕业院校、人社部门等颁发机构或监管机构等单位出具的证明），海外留学（含港澳台）人员学历无法通过学信网站查询，应当提供教育部留学服务中心出具的国外学历认证证书以及教育部留学服务中心官网查询截图作为可以得分的依据。</w:t>
            </w:r>
          </w:p>
        </w:tc>
      </w:tr>
      <w:tr w14:paraId="666E6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Merge w:val="continue"/>
            <w:tcBorders>
              <w:left w:val="single" w:color="auto" w:sz="4" w:space="0"/>
              <w:bottom w:val="single" w:color="auto" w:sz="4" w:space="0"/>
              <w:right w:val="single" w:color="auto" w:sz="4" w:space="0"/>
            </w:tcBorders>
            <w:vAlign w:val="center"/>
          </w:tcPr>
          <w:p w14:paraId="33299E38">
            <w:pPr>
              <w:ind w:firstLine="420"/>
              <w:rPr>
                <w:szCs w:val="21"/>
              </w:rPr>
            </w:pPr>
          </w:p>
        </w:tc>
        <w:tc>
          <w:tcPr>
            <w:tcW w:w="848" w:type="dxa"/>
            <w:tcBorders>
              <w:top w:val="single" w:color="auto" w:sz="4" w:space="0"/>
              <w:left w:val="single" w:color="auto" w:sz="4" w:space="0"/>
              <w:bottom w:val="single" w:color="auto" w:sz="4" w:space="0"/>
              <w:right w:val="single" w:color="auto" w:sz="4" w:space="0"/>
            </w:tcBorders>
            <w:vAlign w:val="center"/>
          </w:tcPr>
          <w:p w14:paraId="612C23C6">
            <w:pPr>
              <w:rPr>
                <w:rFonts w:eastAsia="宋体"/>
                <w:szCs w:val="21"/>
              </w:rPr>
            </w:pPr>
            <w:r>
              <w:rPr>
                <w:rFonts w:hint="eastAsia"/>
                <w:szCs w:val="21"/>
              </w:rPr>
              <w:t>供应商自主知识产权产品（创新、设计）情况</w:t>
            </w:r>
          </w:p>
        </w:tc>
        <w:tc>
          <w:tcPr>
            <w:tcW w:w="709" w:type="dxa"/>
            <w:tcBorders>
              <w:top w:val="single" w:color="auto" w:sz="4" w:space="0"/>
              <w:left w:val="single" w:color="auto" w:sz="4" w:space="0"/>
              <w:bottom w:val="single" w:color="auto" w:sz="4" w:space="0"/>
              <w:right w:val="single" w:color="auto" w:sz="4" w:space="0"/>
            </w:tcBorders>
            <w:vAlign w:val="center"/>
          </w:tcPr>
          <w:p w14:paraId="5B066CCB">
            <w:pPr>
              <w:jc w:val="center"/>
              <w:rPr>
                <w:rFonts w:hint="eastAsia" w:eastAsiaTheme="minorEastAsia"/>
                <w:szCs w:val="21"/>
                <w:lang w:eastAsia="zh-CN"/>
              </w:rPr>
            </w:pPr>
            <w:r>
              <w:rPr>
                <w:rFonts w:hint="eastAsia"/>
                <w:szCs w:val="21"/>
                <w:lang w:val="en-US" w:eastAsia="zh-CN"/>
              </w:rPr>
              <w:t>6</w:t>
            </w:r>
          </w:p>
        </w:tc>
        <w:tc>
          <w:tcPr>
            <w:tcW w:w="6693" w:type="dxa"/>
            <w:tcBorders>
              <w:top w:val="single" w:color="auto" w:sz="4" w:space="0"/>
              <w:left w:val="single" w:color="auto" w:sz="4" w:space="0"/>
              <w:bottom w:val="single" w:color="auto" w:sz="4" w:space="0"/>
              <w:right w:val="single" w:color="auto" w:sz="4" w:space="0"/>
            </w:tcBorders>
            <w:vAlign w:val="center"/>
          </w:tcPr>
          <w:p w14:paraId="6639BC27">
            <w:pPr>
              <w:rPr>
                <w:szCs w:val="21"/>
              </w:rPr>
            </w:pPr>
            <w:r>
              <w:rPr>
                <w:rFonts w:hint="eastAsia"/>
                <w:szCs w:val="21"/>
              </w:rPr>
              <w:t>评分内容：</w:t>
            </w:r>
          </w:p>
          <w:p w14:paraId="1ECF6151">
            <w:pPr>
              <w:ind w:firstLine="420"/>
              <w:rPr>
                <w:szCs w:val="21"/>
              </w:rPr>
            </w:pPr>
            <w:r>
              <w:rPr>
                <w:rFonts w:hint="eastAsia"/>
                <w:szCs w:val="21"/>
              </w:rPr>
              <w:t>供应商或投入本项目的系统具有软件著作权登记证书（(须含“伦理审查”或“伦理管理”或“伦理会议”或“伦理经费”或“伦理培训”或“伦理项目管理”或“</w:t>
            </w:r>
            <w:r>
              <w:rPr>
                <w:rFonts w:hint="eastAsia"/>
                <w:szCs w:val="21"/>
                <w:lang w:val="en-US" w:eastAsia="zh-CN"/>
              </w:rPr>
              <w:t>纵向科研伦理</w:t>
            </w:r>
            <w:r>
              <w:rPr>
                <w:rFonts w:hint="eastAsia"/>
                <w:szCs w:val="21"/>
              </w:rPr>
              <w:t>”相关关键字)），每提供一个得1分，最高得</w:t>
            </w:r>
            <w:r>
              <w:rPr>
                <w:rFonts w:hint="eastAsia"/>
                <w:szCs w:val="21"/>
                <w:lang w:val="en-US" w:eastAsia="zh-CN"/>
              </w:rPr>
              <w:t>6</w:t>
            </w:r>
            <w:r>
              <w:rPr>
                <w:rFonts w:hint="eastAsia"/>
                <w:szCs w:val="21"/>
              </w:rPr>
              <w:t>分。</w:t>
            </w:r>
          </w:p>
          <w:p w14:paraId="4E854E31">
            <w:pPr>
              <w:rPr>
                <w:szCs w:val="21"/>
              </w:rPr>
            </w:pPr>
            <w:r>
              <w:rPr>
                <w:rFonts w:hint="eastAsia"/>
                <w:szCs w:val="21"/>
              </w:rPr>
              <w:t>证明材料要求：</w:t>
            </w:r>
          </w:p>
          <w:p w14:paraId="398EA3D5">
            <w:pPr>
              <w:ind w:firstLine="420"/>
              <w:rPr>
                <w:szCs w:val="21"/>
              </w:rPr>
            </w:pPr>
            <w:r>
              <w:rPr>
                <w:rFonts w:hint="eastAsia"/>
                <w:szCs w:val="21"/>
              </w:rPr>
              <w:t>1、要求提供有效的产权（软件著作权登记证书）证书等证明材料作为得分依据；</w:t>
            </w:r>
          </w:p>
          <w:p w14:paraId="3932E12D">
            <w:pPr>
              <w:ind w:firstLine="420"/>
              <w:rPr>
                <w:rFonts w:eastAsia="宋体"/>
                <w:szCs w:val="21"/>
              </w:rPr>
            </w:pPr>
            <w:r>
              <w:rPr>
                <w:rFonts w:hint="eastAsia"/>
                <w:szCs w:val="21"/>
              </w:rPr>
              <w:t>2、以上证明文件均提供复印件或扫描件（或官方网站截图）加盖供应商公章，原件备查。对于未提供证明文件或者提供不清晰导致评委无法判断的，均作不得分处理。</w:t>
            </w:r>
          </w:p>
        </w:tc>
      </w:tr>
      <w:tr w14:paraId="40712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94" w:type="dxa"/>
            <w:vMerge w:val="continue"/>
            <w:tcBorders>
              <w:top w:val="single" w:color="auto" w:sz="4" w:space="0"/>
              <w:left w:val="single" w:color="auto" w:sz="4" w:space="0"/>
              <w:right w:val="single" w:color="auto" w:sz="4" w:space="0"/>
            </w:tcBorders>
            <w:vAlign w:val="center"/>
          </w:tcPr>
          <w:p w14:paraId="33B8B804">
            <w:pPr>
              <w:ind w:firstLine="420"/>
              <w:rPr>
                <w:szCs w:val="21"/>
              </w:rPr>
            </w:pPr>
          </w:p>
        </w:tc>
        <w:tc>
          <w:tcPr>
            <w:tcW w:w="848" w:type="dxa"/>
            <w:tcBorders>
              <w:top w:val="single" w:color="auto" w:sz="4" w:space="0"/>
              <w:left w:val="single" w:color="auto" w:sz="4" w:space="0"/>
              <w:bottom w:val="single" w:color="auto" w:sz="4" w:space="0"/>
              <w:right w:val="single" w:color="auto" w:sz="4" w:space="0"/>
            </w:tcBorders>
            <w:vAlign w:val="center"/>
          </w:tcPr>
          <w:p w14:paraId="37E85F75">
            <w:pPr>
              <w:rPr>
                <w:szCs w:val="21"/>
              </w:rPr>
            </w:pPr>
            <w:r>
              <w:rPr>
                <w:rFonts w:hint="eastAsia"/>
                <w:szCs w:val="21"/>
              </w:rPr>
              <w:t>质量管理体系认证证书</w:t>
            </w:r>
          </w:p>
        </w:tc>
        <w:tc>
          <w:tcPr>
            <w:tcW w:w="709" w:type="dxa"/>
            <w:tcBorders>
              <w:top w:val="single" w:color="auto" w:sz="4" w:space="0"/>
              <w:left w:val="single" w:color="auto" w:sz="4" w:space="0"/>
              <w:bottom w:val="single" w:color="auto" w:sz="4" w:space="0"/>
              <w:right w:val="single" w:color="auto" w:sz="4" w:space="0"/>
            </w:tcBorders>
            <w:vAlign w:val="center"/>
          </w:tcPr>
          <w:p w14:paraId="0F01F356">
            <w:pPr>
              <w:jc w:val="center"/>
              <w:rPr>
                <w:szCs w:val="21"/>
              </w:rPr>
            </w:pPr>
            <w:r>
              <w:rPr>
                <w:rFonts w:hint="eastAsia"/>
                <w:szCs w:val="21"/>
              </w:rPr>
              <w:t>1</w:t>
            </w:r>
          </w:p>
        </w:tc>
        <w:tc>
          <w:tcPr>
            <w:tcW w:w="6693" w:type="dxa"/>
            <w:tcBorders>
              <w:top w:val="single" w:color="auto" w:sz="4" w:space="0"/>
              <w:left w:val="single" w:color="auto" w:sz="4" w:space="0"/>
              <w:bottom w:val="single" w:color="auto" w:sz="4" w:space="0"/>
              <w:right w:val="single" w:color="auto" w:sz="4" w:space="0"/>
            </w:tcBorders>
            <w:vAlign w:val="center"/>
          </w:tcPr>
          <w:p w14:paraId="11063A78">
            <w:pPr>
              <w:rPr>
                <w:szCs w:val="21"/>
                <w:highlight w:val="yellow"/>
              </w:rPr>
            </w:pPr>
            <w:bookmarkStart w:id="6" w:name="OLE_LINK9"/>
            <w:bookmarkStart w:id="7" w:name="OLE_LINK10"/>
            <w:r>
              <w:rPr>
                <w:rFonts w:hint="eastAsia"/>
                <w:szCs w:val="21"/>
              </w:rPr>
              <w:t>提供在有效期间内的ISO9001证书得1分，提供扫描件或者复印件</w:t>
            </w:r>
            <w:bookmarkEnd w:id="6"/>
            <w:bookmarkEnd w:id="7"/>
          </w:p>
        </w:tc>
      </w:tr>
    </w:tbl>
    <w:p w14:paraId="3332BBC4">
      <w:pPr>
        <w:rPr>
          <w:rFonts w:ascii="仿宋_GB2312" w:hAnsi="仿宋_GB2312" w:eastAsia="仿宋_GB2312" w:cs="仿宋_GB2312"/>
          <w:sz w:val="28"/>
          <w:szCs w:val="28"/>
        </w:rPr>
      </w:pPr>
      <w:r>
        <w:rPr>
          <w:rFonts w:hint="eastAsia" w:ascii="仿宋_GB2312" w:hAnsi="仿宋_GB2312" w:eastAsia="仿宋_GB2312" w:cs="仿宋_GB2312"/>
          <w:sz w:val="28"/>
          <w:szCs w:val="28"/>
        </w:rPr>
        <w:t>2、价格分：20分</w:t>
      </w:r>
    </w:p>
    <w:p w14:paraId="73E1006B">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采用低价优先法计算，即满足采购需求文件要求且报价价格最低的报价为采购基准价，其价格分为满分。</w:t>
      </w:r>
    </w:p>
    <w:p w14:paraId="4AC9F1C0">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其他供应商的价格分统一按照下列公式计算：报价得分=(基准价/报价) 价格权值×100%（精确到小数点后二位)。</w:t>
      </w:r>
    </w:p>
    <w:p w14:paraId="7E8C9144">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综合评分法中的价格分统一采用低价优先法计算，即满足磋商文件要求且最后报价最低的供应商的价格为磋商基准价，其价格分为满分。其他供应商的价格分统一按照下列公式计算：</w:t>
      </w:r>
    </w:p>
    <w:p w14:paraId="5863744E">
      <w:pPr>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磋商报价得分=（磋商基准价/最后磋商报价）×20</w:t>
      </w:r>
      <w:bookmarkStart w:id="8" w:name="_GoBack"/>
      <w:bookmarkEnd w:id="8"/>
    </w:p>
    <w:p w14:paraId="689BE2E2">
      <w:pPr>
        <w:pStyle w:val="20"/>
        <w:ind w:firstLine="0" w:firstLineChars="0"/>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43E1EB-170B-43E3-9F35-D0BE0FC074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9FA9B3DD-F1EF-432C-8365-8519EE283A13}"/>
  </w:font>
  <w:font w:name="方正仿宋_GB2312">
    <w:panose1 w:val="02000000000000000000"/>
    <w:charset w:val="86"/>
    <w:family w:val="auto"/>
    <w:pitch w:val="default"/>
    <w:sig w:usb0="A00002BF" w:usb1="184F6CFA" w:usb2="00000012" w:usb3="00000000" w:csb0="00040001" w:csb1="00000000"/>
    <w:embedRegular r:id="rId3" w:fontKey="{648B3772-99BD-4B11-BEA2-844CC1386AE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9CF33">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89293">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789293">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53DDBE85"/>
    <w:multiLevelType w:val="singleLevel"/>
    <w:tmpl w:val="53DDBE85"/>
    <w:lvl w:ilvl="0" w:tentative="0">
      <w:start w:val="1"/>
      <w:numFmt w:val="chineseCounting"/>
      <w:suff w:val="nothing"/>
      <w:lvlText w:val="（%1）"/>
      <w:lvlJc w:val="left"/>
      <w:pPr>
        <w:ind w:left="0" w:firstLine="420"/>
      </w:pPr>
      <w:rPr>
        <w:rFonts w:hint="eastAsia"/>
      </w:rPr>
    </w:lvl>
  </w:abstractNum>
  <w:abstractNum w:abstractNumId="2">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MjVhMWM2ZWQ2ZWRhMDdiYTZhMzBhZDIxZGMwYTEifQ=="/>
  </w:docVars>
  <w:rsids>
    <w:rsidRoot w:val="250E2FC7"/>
    <w:rsid w:val="0005437B"/>
    <w:rsid w:val="00164C26"/>
    <w:rsid w:val="00232CF4"/>
    <w:rsid w:val="008F0D3B"/>
    <w:rsid w:val="00A2617B"/>
    <w:rsid w:val="00AA5775"/>
    <w:rsid w:val="00B3004E"/>
    <w:rsid w:val="00D05E7A"/>
    <w:rsid w:val="00D938F7"/>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D15121"/>
    <w:rsid w:val="068B0E42"/>
    <w:rsid w:val="069074E0"/>
    <w:rsid w:val="06B01930"/>
    <w:rsid w:val="06EC66E0"/>
    <w:rsid w:val="07117EF5"/>
    <w:rsid w:val="07195727"/>
    <w:rsid w:val="073E7F19"/>
    <w:rsid w:val="076C35BE"/>
    <w:rsid w:val="076D7821"/>
    <w:rsid w:val="07753730"/>
    <w:rsid w:val="07EB38FC"/>
    <w:rsid w:val="07FD6DF7"/>
    <w:rsid w:val="08666242"/>
    <w:rsid w:val="08793F05"/>
    <w:rsid w:val="08D51B22"/>
    <w:rsid w:val="093305F6"/>
    <w:rsid w:val="093F2ABC"/>
    <w:rsid w:val="09FB55B8"/>
    <w:rsid w:val="0A1E4E03"/>
    <w:rsid w:val="0A3208AE"/>
    <w:rsid w:val="0A58658E"/>
    <w:rsid w:val="0A5D3D18"/>
    <w:rsid w:val="0A7B473D"/>
    <w:rsid w:val="0A7C0731"/>
    <w:rsid w:val="0AA826D6"/>
    <w:rsid w:val="0AD33E3F"/>
    <w:rsid w:val="0AFF4C34"/>
    <w:rsid w:val="0B642CE9"/>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540E0F"/>
    <w:rsid w:val="1DB21FDA"/>
    <w:rsid w:val="1DCF66E8"/>
    <w:rsid w:val="1DED55CE"/>
    <w:rsid w:val="1E6C56B1"/>
    <w:rsid w:val="1ED56B8A"/>
    <w:rsid w:val="1EE91A2B"/>
    <w:rsid w:val="1EEE0DF0"/>
    <w:rsid w:val="1FEE7A64"/>
    <w:rsid w:val="201C7BDE"/>
    <w:rsid w:val="206C021E"/>
    <w:rsid w:val="20783C66"/>
    <w:rsid w:val="20C242E2"/>
    <w:rsid w:val="214711F8"/>
    <w:rsid w:val="21625F55"/>
    <w:rsid w:val="21F703DC"/>
    <w:rsid w:val="221C3EC6"/>
    <w:rsid w:val="22600256"/>
    <w:rsid w:val="226E2973"/>
    <w:rsid w:val="2271461B"/>
    <w:rsid w:val="22717D6E"/>
    <w:rsid w:val="228026A7"/>
    <w:rsid w:val="22F51456"/>
    <w:rsid w:val="23983A20"/>
    <w:rsid w:val="239F090A"/>
    <w:rsid w:val="23C6233B"/>
    <w:rsid w:val="24502527"/>
    <w:rsid w:val="249A09DF"/>
    <w:rsid w:val="250E2FC7"/>
    <w:rsid w:val="25D72B4E"/>
    <w:rsid w:val="26123616"/>
    <w:rsid w:val="262D044F"/>
    <w:rsid w:val="269404CF"/>
    <w:rsid w:val="26C802A5"/>
    <w:rsid w:val="26D905D7"/>
    <w:rsid w:val="26D94133"/>
    <w:rsid w:val="27501A47"/>
    <w:rsid w:val="276854B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C3835DF"/>
    <w:rsid w:val="2C8E6C87"/>
    <w:rsid w:val="2C9B7A28"/>
    <w:rsid w:val="2CC66F08"/>
    <w:rsid w:val="2CF41CC7"/>
    <w:rsid w:val="2D173C07"/>
    <w:rsid w:val="2D485B6F"/>
    <w:rsid w:val="2D526B23"/>
    <w:rsid w:val="2E07535D"/>
    <w:rsid w:val="2E304F81"/>
    <w:rsid w:val="2E5D734C"/>
    <w:rsid w:val="2F1A2EE6"/>
    <w:rsid w:val="2FA37B95"/>
    <w:rsid w:val="3014442E"/>
    <w:rsid w:val="305F38FB"/>
    <w:rsid w:val="30AE6631"/>
    <w:rsid w:val="31701B38"/>
    <w:rsid w:val="318F29B2"/>
    <w:rsid w:val="31BD2FCF"/>
    <w:rsid w:val="324E3C27"/>
    <w:rsid w:val="328F5FEE"/>
    <w:rsid w:val="32D257FE"/>
    <w:rsid w:val="333F21A7"/>
    <w:rsid w:val="335A0DFB"/>
    <w:rsid w:val="344418D4"/>
    <w:rsid w:val="344678F3"/>
    <w:rsid w:val="34C52339"/>
    <w:rsid w:val="34C72269"/>
    <w:rsid w:val="34CE54F3"/>
    <w:rsid w:val="34DD46B3"/>
    <w:rsid w:val="34F605A6"/>
    <w:rsid w:val="35411821"/>
    <w:rsid w:val="35EF24AB"/>
    <w:rsid w:val="360311CD"/>
    <w:rsid w:val="36814164"/>
    <w:rsid w:val="368220F2"/>
    <w:rsid w:val="368D6CE8"/>
    <w:rsid w:val="36B75CA4"/>
    <w:rsid w:val="37DC7F27"/>
    <w:rsid w:val="384652DA"/>
    <w:rsid w:val="38767769"/>
    <w:rsid w:val="391F631E"/>
    <w:rsid w:val="39967F45"/>
    <w:rsid w:val="39BC6E9D"/>
    <w:rsid w:val="3A141A1A"/>
    <w:rsid w:val="3A3E6C77"/>
    <w:rsid w:val="3A5C35BA"/>
    <w:rsid w:val="3ABA3D4F"/>
    <w:rsid w:val="3ABB2076"/>
    <w:rsid w:val="3B00746F"/>
    <w:rsid w:val="3B60677A"/>
    <w:rsid w:val="3B952CE7"/>
    <w:rsid w:val="3BB645EB"/>
    <w:rsid w:val="3C0A2B23"/>
    <w:rsid w:val="3C125CC6"/>
    <w:rsid w:val="3C61318A"/>
    <w:rsid w:val="3C635D75"/>
    <w:rsid w:val="3CD830BD"/>
    <w:rsid w:val="3DDD0555"/>
    <w:rsid w:val="3DEE5E07"/>
    <w:rsid w:val="3E350391"/>
    <w:rsid w:val="3E412892"/>
    <w:rsid w:val="3EE41425"/>
    <w:rsid w:val="3EF1250A"/>
    <w:rsid w:val="3F312EE4"/>
    <w:rsid w:val="3F43263A"/>
    <w:rsid w:val="3F4F4175"/>
    <w:rsid w:val="3F892743"/>
    <w:rsid w:val="406B3BF6"/>
    <w:rsid w:val="40BA692C"/>
    <w:rsid w:val="414C1C7A"/>
    <w:rsid w:val="41574984"/>
    <w:rsid w:val="416F6522"/>
    <w:rsid w:val="418C2076"/>
    <w:rsid w:val="41BD66D4"/>
    <w:rsid w:val="41CA7043"/>
    <w:rsid w:val="41FC3266"/>
    <w:rsid w:val="423E004C"/>
    <w:rsid w:val="4253528A"/>
    <w:rsid w:val="427A45C5"/>
    <w:rsid w:val="432B3B11"/>
    <w:rsid w:val="4355293C"/>
    <w:rsid w:val="43BC4CB6"/>
    <w:rsid w:val="44054362"/>
    <w:rsid w:val="447F4114"/>
    <w:rsid w:val="452151CC"/>
    <w:rsid w:val="45756F25"/>
    <w:rsid w:val="45806396"/>
    <w:rsid w:val="45917B29"/>
    <w:rsid w:val="45B778DE"/>
    <w:rsid w:val="45CA13BF"/>
    <w:rsid w:val="46014AC2"/>
    <w:rsid w:val="462705C0"/>
    <w:rsid w:val="46312452"/>
    <w:rsid w:val="467E5988"/>
    <w:rsid w:val="46E464B1"/>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8F5111"/>
    <w:rsid w:val="4D3A6E57"/>
    <w:rsid w:val="4D4B6BDD"/>
    <w:rsid w:val="4D502AF2"/>
    <w:rsid w:val="4D73015B"/>
    <w:rsid w:val="4D901F9F"/>
    <w:rsid w:val="4E0F32CE"/>
    <w:rsid w:val="4E720529"/>
    <w:rsid w:val="4EAF55F6"/>
    <w:rsid w:val="4ECB0C82"/>
    <w:rsid w:val="4F204746"/>
    <w:rsid w:val="4F227C49"/>
    <w:rsid w:val="4F7939E0"/>
    <w:rsid w:val="4FA9473B"/>
    <w:rsid w:val="50131BB5"/>
    <w:rsid w:val="503E7E98"/>
    <w:rsid w:val="507C64A1"/>
    <w:rsid w:val="50CE3319"/>
    <w:rsid w:val="51161B0F"/>
    <w:rsid w:val="513B781C"/>
    <w:rsid w:val="51556929"/>
    <w:rsid w:val="515C58A2"/>
    <w:rsid w:val="518E3BE9"/>
    <w:rsid w:val="52911BE2"/>
    <w:rsid w:val="52AF3E17"/>
    <w:rsid w:val="52CB2612"/>
    <w:rsid w:val="52ED2B91"/>
    <w:rsid w:val="534A56F4"/>
    <w:rsid w:val="53AB1707"/>
    <w:rsid w:val="53B25189"/>
    <w:rsid w:val="53DB0C3B"/>
    <w:rsid w:val="541B3C32"/>
    <w:rsid w:val="54A83213"/>
    <w:rsid w:val="54DE3429"/>
    <w:rsid w:val="550A7A2A"/>
    <w:rsid w:val="557C6D43"/>
    <w:rsid w:val="55C027DF"/>
    <w:rsid w:val="55EC35D4"/>
    <w:rsid w:val="56292132"/>
    <w:rsid w:val="566E649D"/>
    <w:rsid w:val="56BE6E44"/>
    <w:rsid w:val="5765363E"/>
    <w:rsid w:val="57743881"/>
    <w:rsid w:val="577575E6"/>
    <w:rsid w:val="57917F8F"/>
    <w:rsid w:val="580C4164"/>
    <w:rsid w:val="584B2834"/>
    <w:rsid w:val="58506D3B"/>
    <w:rsid w:val="589F0489"/>
    <w:rsid w:val="58BC728D"/>
    <w:rsid w:val="58E95F87"/>
    <w:rsid w:val="59CA59DA"/>
    <w:rsid w:val="5A117165"/>
    <w:rsid w:val="5A5359CF"/>
    <w:rsid w:val="5B4455B1"/>
    <w:rsid w:val="5B5E63DA"/>
    <w:rsid w:val="5B77749C"/>
    <w:rsid w:val="5BC85F49"/>
    <w:rsid w:val="5C433822"/>
    <w:rsid w:val="5C5060C3"/>
    <w:rsid w:val="5C534E4A"/>
    <w:rsid w:val="5C9207D9"/>
    <w:rsid w:val="5CA644DC"/>
    <w:rsid w:val="5CA70254"/>
    <w:rsid w:val="5D4F6922"/>
    <w:rsid w:val="5DAF5613"/>
    <w:rsid w:val="5DD2630F"/>
    <w:rsid w:val="5DDE1A54"/>
    <w:rsid w:val="5DEA0290"/>
    <w:rsid w:val="5E3478C6"/>
    <w:rsid w:val="5E431B60"/>
    <w:rsid w:val="5E946D19"/>
    <w:rsid w:val="5ED86344"/>
    <w:rsid w:val="5F3758C0"/>
    <w:rsid w:val="5F42288E"/>
    <w:rsid w:val="5F645F89"/>
    <w:rsid w:val="5FB962D5"/>
    <w:rsid w:val="606C3347"/>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A23AF2"/>
    <w:rsid w:val="67C03263"/>
    <w:rsid w:val="685C1EF3"/>
    <w:rsid w:val="68A4505F"/>
    <w:rsid w:val="69623539"/>
    <w:rsid w:val="69B7787E"/>
    <w:rsid w:val="6A841BD5"/>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3141F7"/>
    <w:rsid w:val="6F3C5AED"/>
    <w:rsid w:val="6FCD36D6"/>
    <w:rsid w:val="6FDB5DF3"/>
    <w:rsid w:val="6FF944CB"/>
    <w:rsid w:val="70C8281B"/>
    <w:rsid w:val="70DB700F"/>
    <w:rsid w:val="71150210"/>
    <w:rsid w:val="713003C1"/>
    <w:rsid w:val="71593474"/>
    <w:rsid w:val="717A163C"/>
    <w:rsid w:val="719E532A"/>
    <w:rsid w:val="72B666A4"/>
    <w:rsid w:val="73A95214"/>
    <w:rsid w:val="73C72E99"/>
    <w:rsid w:val="73CB617F"/>
    <w:rsid w:val="741D7737"/>
    <w:rsid w:val="74732A9E"/>
    <w:rsid w:val="749A44CF"/>
    <w:rsid w:val="749B0247"/>
    <w:rsid w:val="74F57957"/>
    <w:rsid w:val="750741FE"/>
    <w:rsid w:val="75742F72"/>
    <w:rsid w:val="75B82733"/>
    <w:rsid w:val="76EE2C2B"/>
    <w:rsid w:val="775B7917"/>
    <w:rsid w:val="781400F4"/>
    <w:rsid w:val="78915BE9"/>
    <w:rsid w:val="78B673FD"/>
    <w:rsid w:val="78CC652A"/>
    <w:rsid w:val="78E75809"/>
    <w:rsid w:val="79295E21"/>
    <w:rsid w:val="793547C6"/>
    <w:rsid w:val="79686128"/>
    <w:rsid w:val="79883BFD"/>
    <w:rsid w:val="79CC3315"/>
    <w:rsid w:val="7A0D5743"/>
    <w:rsid w:val="7A170370"/>
    <w:rsid w:val="7A6510DB"/>
    <w:rsid w:val="7AA221E5"/>
    <w:rsid w:val="7AA664FD"/>
    <w:rsid w:val="7AB07CD4"/>
    <w:rsid w:val="7AF1296F"/>
    <w:rsid w:val="7B4B7D5D"/>
    <w:rsid w:val="7BE523A9"/>
    <w:rsid w:val="7BF02C26"/>
    <w:rsid w:val="7C385132"/>
    <w:rsid w:val="7C635AEE"/>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link w:val="23"/>
    <w:qFormat/>
    <w:uiPriority w:val="0"/>
    <w:pPr>
      <w:spacing w:before="340" w:after="330"/>
      <w:jc w:val="center"/>
      <w:outlineLvl w:val="0"/>
    </w:pPr>
    <w:rPr>
      <w:rFonts w:eastAsia="黑体"/>
      <w:kern w:val="44"/>
      <w:szCs w:val="44"/>
    </w:rPr>
  </w:style>
  <w:style w:type="paragraph" w:styleId="5">
    <w:name w:val="heading 3"/>
    <w:basedOn w:val="1"/>
    <w:next w:val="1"/>
    <w:qFormat/>
    <w:uiPriority w:val="0"/>
    <w:pPr>
      <w:spacing w:before="260" w:after="260"/>
      <w:outlineLvl w:val="2"/>
    </w:pPr>
    <w:rPr>
      <w:rFonts w:ascii="宋体" w:hAnsi="宋体"/>
      <w:szCs w:val="32"/>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outlineLvl w:val="0"/>
    </w:pPr>
    <w:rPr>
      <w:rFonts w:ascii="Arial" w:hAnsi="Arial" w:eastAsia="隶书" w:cs="Arial"/>
      <w:b/>
      <w:bCs/>
      <w:sz w:val="32"/>
      <w:szCs w:val="32"/>
    </w:rPr>
  </w:style>
  <w:style w:type="paragraph" w:styleId="7">
    <w:name w:val="Normal Indent"/>
    <w:basedOn w:val="1"/>
    <w:next w:val="1"/>
    <w:qFormat/>
    <w:uiPriority w:val="0"/>
    <w:pPr>
      <w:ind w:firstLine="420"/>
    </w:pPr>
    <w:rPr>
      <w:szCs w:val="20"/>
    </w:rPr>
  </w:style>
  <w:style w:type="paragraph" w:styleId="8">
    <w:name w:val="annotation text"/>
    <w:basedOn w:val="1"/>
    <w:link w:val="25"/>
    <w:qFormat/>
    <w:uiPriority w:val="0"/>
    <w:pPr>
      <w:jc w:val="left"/>
    </w:pPr>
  </w:style>
  <w:style w:type="paragraph" w:styleId="9">
    <w:name w:val="Body Text Indent"/>
    <w:basedOn w:val="1"/>
    <w:qFormat/>
    <w:uiPriority w:val="0"/>
    <w:pPr>
      <w:spacing w:line="200" w:lineRule="exact"/>
      <w:ind w:firstLine="301"/>
    </w:pPr>
    <w:rPr>
      <w:spacing w:val="-4"/>
      <w:sz w:val="18"/>
    </w:rPr>
  </w:style>
  <w:style w:type="paragraph" w:styleId="10">
    <w:name w:val="Plain Text"/>
    <w:basedOn w:val="1"/>
    <w:next w:val="6"/>
    <w:qFormat/>
    <w:uiPriority w:val="0"/>
    <w:rPr>
      <w:rFonts w:ascii="宋体" w:hAnsi="Courier New"/>
      <w:kern w:val="0"/>
      <w:sz w:val="20"/>
      <w:szCs w:val="21"/>
    </w:r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8"/>
    <w:next w:val="8"/>
    <w:link w:val="26"/>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样式 首行缩进:  2 字符"/>
    <w:basedOn w:val="1"/>
    <w:qFormat/>
    <w:uiPriority w:val="0"/>
    <w:pPr>
      <w:spacing w:line="400" w:lineRule="exact"/>
      <w:ind w:firstLine="200" w:firstLineChars="200"/>
    </w:pPr>
    <w:rPr>
      <w:rFonts w:cs="宋体"/>
      <w:sz w:val="24"/>
    </w:rPr>
  </w:style>
  <w:style w:type="paragraph" w:customStyle="1" w:styleId="21">
    <w:name w:val="Table Text"/>
    <w:basedOn w:val="1"/>
    <w:semiHidden/>
    <w:qFormat/>
    <w:uiPriority w:val="0"/>
    <w:rPr>
      <w:rFonts w:ascii="宋体" w:hAnsi="宋体" w:eastAsia="宋体" w:cs="宋体"/>
      <w:sz w:val="20"/>
      <w:szCs w:val="20"/>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标题 1 字符"/>
    <w:basedOn w:val="18"/>
    <w:link w:val="4"/>
    <w:autoRedefine/>
    <w:qFormat/>
    <w:uiPriority w:val="0"/>
    <w:rPr>
      <w:rFonts w:eastAsia="黑体"/>
      <w:kern w:val="44"/>
      <w:szCs w:val="44"/>
    </w:rPr>
  </w:style>
  <w:style w:type="character" w:customStyle="1" w:styleId="24">
    <w:name w:val="批注框文本 字符"/>
    <w:basedOn w:val="18"/>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8"/>
    <w:link w:val="8"/>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15"/>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8</Pages>
  <Words>6894</Words>
  <Characters>7105</Characters>
  <Lines>53</Lines>
  <Paragraphs>15</Paragraphs>
  <TotalTime>38</TotalTime>
  <ScaleCrop>false</ScaleCrop>
  <LinksUpToDate>false</LinksUpToDate>
  <CharactersWithSpaces>7108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2025-05-16T09:19:00Z</dcterms:created>
  <dc:creator>陌上。</dc:creator>
  <cp:lastModifiedBy>秋秋</cp:lastModifiedBy>
  <cp:lastPrinted>2025-05-16T10:17:00Z</cp:lastPrinted>
  <dcterms:modified xsi:type="dcterms:W3CDTF">2025-05-19T03:04:13Z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30575C8712534539B4C32265BE77E88B_13</vt:lpwstr>
  </property>
  <property fmtid="{D5CDD505-2E9C-101B-9397-08002B2CF9AE}" pid="4" name="KSOTemplateDocerSaveRecord">
    <vt:lpwstr>eyJoZGlkIjoiY2Q2MjU2MzMxMTIyNzIyYTQyZjg1OTZhMmRkYzhlY2QiLCJ1c2VySWQiOiI0MTcxNjY3MTMifQ==</vt:lpwstr>
  </property>
</Properties>
</file>