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中山大学附属第一医院广西医院猪肉类食材采购及配送服务项目采购需求</w:t>
      </w:r>
    </w:p>
    <w:p w14:paraId="7CB4980A">
      <w:pPr>
        <w:keepNext w:val="0"/>
        <w:keepLines w:val="0"/>
        <w:pageBreakBefore w:val="0"/>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一、采购需求报价表</w:t>
      </w:r>
    </w:p>
    <w:tbl>
      <w:tblPr>
        <w:tblStyle w:val="4"/>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2304"/>
        <w:gridCol w:w="1596"/>
        <w:gridCol w:w="1596"/>
        <w:gridCol w:w="2566"/>
      </w:tblGrid>
      <w:tr w14:paraId="3282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2F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中山大学附属第一医院广西医院猪肉类食材采购及配送服务需求报价表</w:t>
            </w:r>
          </w:p>
        </w:tc>
      </w:tr>
      <w:tr w14:paraId="3EF9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74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1F13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0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4"/>
                <w:szCs w:val="24"/>
                <w:u w:val="none"/>
                <w:lang w:bidi="ar"/>
              </w:rPr>
            </w:pPr>
            <w:r>
              <w:rPr>
                <w:rStyle w:val="5"/>
                <w:b w:val="0"/>
                <w:bCs w:val="0"/>
                <w:kern w:val="0"/>
                <w:lang w:val="en-US" w:eastAsia="zh-CN" w:bidi="ar"/>
              </w:rPr>
              <w:t>序号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68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B94">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产地/品牌</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E5D">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0E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报价（元/斤）</w:t>
            </w:r>
          </w:p>
        </w:tc>
      </w:tr>
      <w:tr w14:paraId="403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2DA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猪耳朵</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E3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75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32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2A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6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9F2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猪板筋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CC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74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16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44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9C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160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猪肚</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9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60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1A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64F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B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4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瘦肉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C8F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7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4D3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52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猪里脊肉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304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B22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46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2E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84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半肥瘦肉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3E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65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D5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3C5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77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肥肉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ED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2C5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8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2C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D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小排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E5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1AD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33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BF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9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F0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尾骨</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176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7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7D3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CB8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E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A5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五花肉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4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A4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5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6D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3F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猪脚</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DEC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58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69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31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95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B68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筒骨</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F4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591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42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2FC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8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1F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扇骨</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F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BE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92D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21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AD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BA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D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4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23B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3B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F7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6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粉肠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57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B58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3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1E8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67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猪红</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B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0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ED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95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E4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E2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大肠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E3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AD9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362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C6C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C6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24F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猪腰</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922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6A2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982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0F6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80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E83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脆骨</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7E0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606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738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5BC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8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011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猪利</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F6C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81C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664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4E4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77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F83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瘦肉沫</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19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633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02B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A97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59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401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瘦肉片</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02B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C46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89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B9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CB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50B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瘦肉丝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3AC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F5F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97F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D7C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89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25C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9EE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3BE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712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6DE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2B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822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猪脑</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AE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C3E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E55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E55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1B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48F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猪头骨</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941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3CF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DF1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899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0B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38C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隔沙肉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5DF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B4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373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18F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EB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81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猪尾（短）</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42A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1BF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EC5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354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ED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14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猪尾（长）</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91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8D3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125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01C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F0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2F3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圆蹄</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667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AEC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FD7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01B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91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CA2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7寸</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F4F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9F5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86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E6B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FB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B6D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猪心</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368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106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91B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580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81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38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梅头瘦肉粒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C5D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FE0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7FF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A93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C7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247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半肥肉沫</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3D9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BA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F7A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646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7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AA2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瘦猪颈肉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A20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3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114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AE3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EF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12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肉排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D28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E89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779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ED9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BC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8B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猪皮</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29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06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749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8A8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44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5F4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猪脚尖</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325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DD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5BA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5C8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E2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AC9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猪舌头</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9E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7D2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496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C1B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08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4B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9B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40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95F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69C9A49B">
      <w:pPr>
        <w:keepNext w:val="0"/>
        <w:keepLines w:val="0"/>
        <w:pageBreakBefore w:val="0"/>
        <w:kinsoku/>
        <w:wordWrap/>
        <w:overflowPunct/>
        <w:topLinePunct w:val="0"/>
        <w:autoSpaceDE/>
        <w:autoSpaceDN/>
        <w:bidi w:val="0"/>
        <w:adjustRightInd/>
        <w:snapToGrid/>
        <w:ind w:firstLine="1680" w:firstLineChars="700"/>
        <w:jc w:val="left"/>
        <w:rPr>
          <w:rFonts w:hint="eastAsia" w:ascii="宋体" w:hAnsi="宋体" w:eastAsia="宋体" w:cs="宋体"/>
          <w:sz w:val="32"/>
          <w:szCs w:val="32"/>
          <w:lang w:val="en-US" w:eastAsia="zh-CN"/>
        </w:rPr>
      </w:pPr>
      <w:r>
        <w:rPr>
          <w:rFonts w:hint="eastAsia" w:ascii="宋体" w:hAnsi="宋体" w:eastAsia="宋体" w:cs="宋体"/>
          <w:color w:val="FF0000"/>
          <w:sz w:val="24"/>
          <w:szCs w:val="24"/>
          <w:lang w:val="en-US" w:eastAsia="zh-CN"/>
        </w:rPr>
        <w:t>注：报价清单产品包括但不限于表中品目。</w:t>
      </w:r>
    </w:p>
    <w:p w14:paraId="580C2FB2">
      <w:pPr>
        <w:keepNext w:val="0"/>
        <w:keepLines w:val="0"/>
        <w:pageBreakBefore w:val="0"/>
        <w:numPr>
          <w:ilvl w:val="0"/>
          <w:numId w:val="1"/>
        </w:numPr>
        <w:kinsoku/>
        <w:wordWrap/>
        <w:overflowPunct/>
        <w:topLinePunct w:val="0"/>
        <w:autoSpaceDE/>
        <w:autoSpaceDN/>
        <w:bidi w:val="0"/>
        <w:adjustRightInd/>
        <w:snapToGrid/>
        <w:ind w:left="-640" w:leftChars="0" w:firstLine="640" w:firstLine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（2）持有合法有效的《营业执照》（三证合一）及食品经营许可证（经营项目须包含生鲜肉类等采购品类）。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（3）食品配送人员须持有有效期内的食品从业人员健康证明。</w:t>
      </w:r>
    </w:p>
    <w:p w14:paraId="38D2FD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2.本项目不接受联合体报价。</w:t>
      </w:r>
    </w:p>
    <w:p w14:paraId="366BAD4F">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三、供应产品的质量要求</w:t>
      </w:r>
    </w:p>
    <w:p w14:paraId="02DFBF49">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1.总体要求：</w:t>
      </w:r>
    </w:p>
    <w:p w14:paraId="20767FC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t>食材无毒、无害、无污染，符合国家、行业及地方的食品卫生及安全标准，农产品符合国家、行业及地方的无公害农产品标准，安全、卫生和动植物检验、检疫项目按照国家有关规定执行</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p>
    <w:p w14:paraId="3CE1120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2.供应的肉类食品，需符合相关环境保护、知识产权等方面的法律要求，需符合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提出的有关特殊要求和质量标准。</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在每次送货时，要将肉类食品等的卫生检验检疫报告随同供货清单交由</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。同时需提供肉类检验检疫合格证明及动物产品分销信息追溯凭证。具体质量要求如下：</w:t>
      </w:r>
    </w:p>
    <w:p w14:paraId="61443C6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猪瘦肉：新鲜、洁净，无注水、肉质鲜嫩，无异味、肥瘦适中、无杂质。</w:t>
      </w:r>
    </w:p>
    <w:p w14:paraId="36B6E32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猪大排骨：新鲜、洁净，无注水，肉质鲜嫩，无异味、无杂质。</w:t>
      </w:r>
    </w:p>
    <w:p w14:paraId="53D0B05B">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猪筒骨：新鲜、洁净，无异味，无杂质。</w:t>
      </w:r>
    </w:p>
    <w:p w14:paraId="3D8C3AB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猪沙骨：新鲜、洁净，无注水，肉质鲜嫩，无异味、无杂质。</w:t>
      </w:r>
    </w:p>
    <w:p w14:paraId="6F4BBAE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带皮（去皮）五花肉：整齐块状（切掉边料），新鲜、洁净，无注水、肉质鲜嫩，无异味、肥瘦适中、无毛。</w:t>
      </w:r>
    </w:p>
    <w:p w14:paraId="7DBEC522">
      <w:pPr>
        <w:keepNext w:val="0"/>
        <w:keepLines w:val="0"/>
        <w:pageBreakBefore w:val="0"/>
        <w:widowControl w:val="0"/>
        <w:numPr>
          <w:ilvl w:val="0"/>
          <w:numId w:val="0"/>
        </w:numPr>
        <w:kinsoku/>
        <w:wordWrap/>
        <w:overflowPunct/>
        <w:topLinePunct w:val="0"/>
        <w:autoSpaceDE/>
        <w:autoSpaceDN/>
        <w:bidi w:val="0"/>
        <w:adjustRightInd/>
        <w:snapToGrid/>
        <w:ind w:left="596" w:leftChars="284" w:firstLine="0" w:firstLine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净猪肚：新鲜、洁净，无异味、无注水、无油。约 1.5-2.5 斤/个。猪净耳朵：新鲜、洁净、无异味、烧好无毛。约0.3-0.5 斤/个。</w:t>
      </w:r>
    </w:p>
    <w:p w14:paraId="6DCA54C2">
      <w:pPr>
        <w:keepNext w:val="0"/>
        <w:keepLines w:val="0"/>
        <w:pageBreakBefore w:val="0"/>
        <w:widowControl w:val="0"/>
        <w:numPr>
          <w:ilvl w:val="0"/>
          <w:numId w:val="0"/>
        </w:numPr>
        <w:kinsoku/>
        <w:wordWrap/>
        <w:overflowPunct/>
        <w:topLinePunct w:val="0"/>
        <w:autoSpaceDE/>
        <w:autoSpaceDN/>
        <w:bidi w:val="0"/>
        <w:adjustRightInd/>
        <w:snapToGrid/>
        <w:ind w:left="596" w:leftChars="284" w:firstLine="0" w:firstLine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猪耳朵：新鲜、洁净、无异味、烧好无毛。约0.6-0.7 斤/个。</w:t>
      </w:r>
    </w:p>
    <w:p w14:paraId="0F97C2A5">
      <w:pPr>
        <w:keepNext w:val="0"/>
        <w:keepLines w:val="0"/>
        <w:pageBreakBefore w:val="0"/>
        <w:widowControl w:val="0"/>
        <w:numPr>
          <w:ilvl w:val="0"/>
          <w:numId w:val="0"/>
        </w:numPr>
        <w:kinsoku/>
        <w:wordWrap/>
        <w:overflowPunct/>
        <w:topLinePunct w:val="0"/>
        <w:autoSpaceDE/>
        <w:autoSpaceDN/>
        <w:bidi w:val="0"/>
        <w:adjustRightInd/>
        <w:snapToGrid/>
        <w:ind w:left="596" w:leftChars="284" w:firstLine="0" w:firstLine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开边猪脚(前脚）：新鲜、洁净，无异味、烧好无毛、无杂质。</w:t>
      </w:r>
    </w:p>
    <w:p w14:paraId="201D5688">
      <w:pPr>
        <w:keepNext w:val="0"/>
        <w:keepLines w:val="0"/>
        <w:pageBreakBefore w:val="0"/>
        <w:widowControl w:val="0"/>
        <w:numPr>
          <w:ilvl w:val="0"/>
          <w:numId w:val="0"/>
        </w:numPr>
        <w:kinsoku/>
        <w:wordWrap/>
        <w:overflowPunct/>
        <w:topLinePunct w:val="0"/>
        <w:autoSpaceDE/>
        <w:autoSpaceDN/>
        <w:bidi w:val="0"/>
        <w:adjustRightInd/>
        <w:snapToGrid/>
        <w:ind w:left="596" w:leftChars="284" w:firstLine="0" w:firstLine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猪舌头：新鲜、洁净，无异味。</w:t>
      </w:r>
    </w:p>
    <w:p w14:paraId="59FBC5C6">
      <w:pPr>
        <w:keepNext w:val="0"/>
        <w:keepLines w:val="0"/>
        <w:pageBreakBefore w:val="0"/>
        <w:widowControl w:val="0"/>
        <w:numPr>
          <w:ilvl w:val="0"/>
          <w:numId w:val="0"/>
        </w:numPr>
        <w:kinsoku/>
        <w:wordWrap/>
        <w:overflowPunct/>
        <w:topLinePunct w:val="0"/>
        <w:autoSpaceDE/>
        <w:autoSpaceDN/>
        <w:bidi w:val="0"/>
        <w:adjustRightInd/>
        <w:snapToGrid/>
        <w:ind w:left="596" w:leftChars="284" w:firstLine="0" w:firstLine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猪里脊肉：新鲜、洁净，不带脂肪层、去肉皮、去筋膜、无注水、无异味。约 3～5 斤/条。</w:t>
      </w:r>
    </w:p>
    <w:p w14:paraId="06FBA57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四、</w:t>
      </w:r>
      <w:r>
        <w:rPr>
          <w:rFonts w:hint="default" w:ascii="宋体" w:hAnsi="宋体" w:eastAsia="宋体" w:cs="宋体"/>
          <w:sz w:val="32"/>
          <w:szCs w:val="32"/>
          <w:lang w:val="en-US" w:eastAsia="zh-CN"/>
        </w:rPr>
        <w:t>食品配送便利性及相关配送要求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配送的肉类食材在正规肉联厂加工完毕后应8小时内配送给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对小量常用品的临时需求，能做到1小时内送到；对不合格产品，需及时更换，1小时内送到。因交通、天气等不可抗力导致的延误除外。</w:t>
      </w:r>
    </w:p>
    <w:p w14:paraId="46F7C34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不得变更供货清单，应严格按采购文件要求（含商标、名称、产地、规格和重量等）供应，否则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未能履行采购文件和合同所定事项，或供应不合格的、假冒伪劣、以次充好或保质期不足的货品，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五、报价、结算方式</w:t>
      </w:r>
    </w:p>
    <w:p w14:paraId="023633C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1.报价必须含以下部分：</w:t>
      </w:r>
    </w:p>
    <w:p w14:paraId="4278788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货物、服务费用；</w:t>
      </w:r>
    </w:p>
    <w:p w14:paraId="4171337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1.2报价需包含必要的保险费用和各项税金费用；</w:t>
      </w:r>
    </w:p>
    <w:p w14:paraId="793D7AD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7C9AEE6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sectPr>
      <w:pgSz w:w="11906" w:h="16838"/>
      <w:pgMar w:top="1134" w:right="1134" w:bottom="124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1960D27"/>
    <w:rsid w:val="02BB7624"/>
    <w:rsid w:val="098455DC"/>
    <w:rsid w:val="0F8261A3"/>
    <w:rsid w:val="1A0B4BE0"/>
    <w:rsid w:val="207728D1"/>
    <w:rsid w:val="38280D3B"/>
    <w:rsid w:val="3D6562C9"/>
    <w:rsid w:val="462F6EE2"/>
    <w:rsid w:val="49E8216B"/>
    <w:rsid w:val="4C631A06"/>
    <w:rsid w:val="4FB71213"/>
    <w:rsid w:val="51BC4489"/>
    <w:rsid w:val="52224331"/>
    <w:rsid w:val="528D47EC"/>
    <w:rsid w:val="551C1FA1"/>
    <w:rsid w:val="560E087A"/>
    <w:rsid w:val="5B433F04"/>
    <w:rsid w:val="5DF66B61"/>
    <w:rsid w:val="62800467"/>
    <w:rsid w:val="6A333127"/>
    <w:rsid w:val="6A430961"/>
    <w:rsid w:val="6F79710B"/>
    <w:rsid w:val="6FA73B9E"/>
    <w:rsid w:val="79E57808"/>
    <w:rsid w:val="7B4972AD"/>
    <w:rsid w:val="7B7C16EB"/>
    <w:rsid w:val="7D4A1A2C"/>
    <w:rsid w:val="7E44528B"/>
    <w:rsid w:val="7EB4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5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2755</Words>
  <Characters>2835</Characters>
  <Lines>0</Lines>
  <Paragraphs>0</Paragraphs>
  <TotalTime>7</TotalTime>
  <ScaleCrop>false</ScaleCrop>
  <LinksUpToDate>false</LinksUpToDate>
  <CharactersWithSpaces>2845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2025-03-27T09:53:57Z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3D3F32BA49294BE79BD49251117D27E0_13</vt:lpwstr>
  </property>
  <property fmtid="{D5CDD505-2E9C-101B-9397-08002B2CF9AE}" pid="4" name="KSOTemplateDocerSaveRecord">
    <vt:lpwstr>eyJoZGlkIjoiY2Q2MjU2MzMxMTIyNzIyYTQyZjg1OTZhMmRkYzhlY2QiLCJ1c2VySWQiOiI0MTcxNjY3MTMifQ==</vt:lpwstr>
  </property>
</Properties>
</file>