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E3A4D">
      <w:pPr>
        <w:jc w:val="center"/>
        <w:rPr>
          <w:rFonts w:hint="eastAsia" w:ascii="宋体" w:hAnsi="宋体" w:eastAsia="宋体" w:cs="宋体"/>
          <w:sz w:val="32"/>
          <w:szCs w:val="32"/>
        </w:rPr>
      </w:pPr>
      <w:r>
        <w:rPr>
          <w:rFonts w:hint="eastAsia" w:ascii="宋体" w:hAnsi="宋体" w:eastAsia="宋体" w:cs="宋体"/>
          <w:sz w:val="32"/>
          <w:szCs w:val="32"/>
        </w:rPr>
        <w:t>中山大学附属第一医院广西医院科研专用高性能计算存储工作站技术参数</w:t>
      </w:r>
    </w:p>
    <w:p w14:paraId="2F0F7750">
      <w:pPr>
        <w:rPr>
          <w:rFonts w:hint="eastAsia" w:ascii="宋体" w:hAnsi="宋体" w:eastAsia="宋体" w:cs="宋体"/>
          <w:sz w:val="28"/>
          <w:szCs w:val="28"/>
        </w:rPr>
      </w:pPr>
      <w:r>
        <w:rPr>
          <w:rFonts w:hint="eastAsia" w:ascii="宋体" w:hAnsi="宋体" w:eastAsia="宋体" w:cs="宋体"/>
          <w:sz w:val="28"/>
          <w:szCs w:val="28"/>
        </w:rPr>
        <w:t>标注“▲”参数均为实质性条款，响应时必须满足，否则视为无效响应。</w:t>
      </w:r>
    </w:p>
    <w:p w14:paraId="0EBF9618">
      <w:pPr>
        <w:rPr>
          <w:rFonts w:hint="eastAsia" w:ascii="宋体" w:hAnsi="宋体" w:eastAsia="宋体" w:cs="宋体"/>
          <w:sz w:val="28"/>
          <w:szCs w:val="28"/>
        </w:rPr>
      </w:pPr>
    </w:p>
    <w:p w14:paraId="7F60FBA5">
      <w:pPr>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计算工作站</w:t>
      </w:r>
    </w:p>
    <w:p w14:paraId="457AE83C">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1 CPU：配置双路CPU，每颗CPU具有至少96个物理核心和192个线程。基准时钟频率≥2.6GHz，最高加速时钟频率≥4.5GHz，L3缓存容量≥350MB；</w:t>
      </w:r>
    </w:p>
    <w:p w14:paraId="69DCD1A3">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2 内存：使用DDR5 ECC内存，提供不少于12个内存通道，总容量不低于2000GB，工作频率不低于4800MHz；</w:t>
      </w:r>
    </w:p>
    <w:p w14:paraId="6AEDE0C2">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3 系统存储：至少配备 4 块（2 组）企业级固态硬盘，采用 TLC 或更高级别的 NAND 闪存。每块硬盘的随机写入性能不低于 25000 IOPS，随机读取性能不低于 95000 IOPS，容量不低于 960GB，保证每960GB具有不低于1PBW写入寿命；</w:t>
      </w:r>
    </w:p>
    <w:p w14:paraId="7413A1C9">
      <w:pPr>
        <w:ind w:left="280" w:hanging="280" w:hangingChars="100"/>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4阵列卡：独立的RAID阵列卡，缓存至少为1GB，支持RAID 0、1、5、6、10、50、60模式；</w:t>
      </w:r>
    </w:p>
    <w:p w14:paraId="5CCB8F80">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5 供电模块：配备至少1600W的1+1冗余供电模块；</w:t>
      </w:r>
    </w:p>
    <w:p w14:paraId="49E38815">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6 网络：不低于25Gbps的SFP28光口（含光模块）；</w:t>
      </w:r>
      <w:r>
        <w:rPr>
          <w:rFonts w:ascii="宋体" w:hAnsi="宋体" w:eastAsia="宋体" w:cs="宋体"/>
          <w:sz w:val="28"/>
          <w:szCs w:val="28"/>
          <w:highlight w:val="none"/>
        </w:rPr>
        <w:t xml:space="preserve"> </w:t>
      </w:r>
    </w:p>
    <w:p w14:paraId="70E0499E">
      <w:pPr>
        <w:ind w:left="280" w:hanging="280" w:hangingChars="100"/>
        <w:rPr>
          <w:rFonts w:hint="eastAsia" w:ascii="宋体" w:hAnsi="宋体" w:eastAsia="宋体" w:cs="宋体"/>
          <w:sz w:val="28"/>
          <w:szCs w:val="28"/>
          <w:highlight w:val="none"/>
        </w:rPr>
      </w:pPr>
      <w:r>
        <w:rPr>
          <w:rFonts w:hint="eastAsia" w:ascii="宋体" w:hAnsi="宋体" w:eastAsia="宋体" w:cs="宋体"/>
          <w:sz w:val="28"/>
          <w:szCs w:val="28"/>
          <w:highlight w:val="none"/>
        </w:rPr>
        <w:t>7 规格：2U机架式；</w:t>
      </w:r>
    </w:p>
    <w:p w14:paraId="18919760">
      <w:pPr>
        <w:ind w:left="280" w:hanging="280" w:hangingChars="10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8 操作系统：支持Red Hat Linux 5.6/6.8、Ubuntu 22.04 LTS或更高版本操作系统。</w:t>
      </w:r>
    </w:p>
    <w:p w14:paraId="35D0D09A">
      <w:pPr>
        <w:rPr>
          <w:rFonts w:hint="eastAsia" w:ascii="宋体" w:hAnsi="宋体" w:eastAsia="宋体" w:cs="宋体"/>
          <w:sz w:val="28"/>
          <w:szCs w:val="28"/>
          <w:highlight w:val="none"/>
        </w:rPr>
      </w:pPr>
    </w:p>
    <w:p w14:paraId="79DB9D28">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存储工作站</w:t>
      </w:r>
    </w:p>
    <w:p w14:paraId="277DB43C">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1 CPU：配置双路CPU，每颗CPU具有至少16个物理核心和32个线程。基准时钟频率≥2.4GHz，最大频率≥3.4GHz；</w:t>
      </w:r>
    </w:p>
    <w:p w14:paraId="4A46AF23">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2 内存：采用DDR4 ECC或更高级别的内存，提供不少于8个内存通道，总容量不低于256GB，内存工作频率不低于3200MHz；</w:t>
      </w:r>
    </w:p>
    <w:p w14:paraId="14B9B705">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3 系统存储：至少配备2块企业级固态硬盘，采用 TLC 或更高级别的 NAND 闪存。每块硬盘的随机写入性能不低于 25000 IOPS，随机读取性能不低于 95000 IOPS，容量不低于 960GB，保证每960GB具有不低于1PBW的写入寿命；</w:t>
      </w:r>
    </w:p>
    <w:p w14:paraId="62EC2B10">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4 数据</w:t>
      </w:r>
      <w:bookmarkStart w:id="0" w:name="_Hlk194588610"/>
      <w:r>
        <w:rPr>
          <w:rFonts w:hint="eastAsia" w:ascii="宋体" w:hAnsi="宋体" w:eastAsia="宋体" w:cs="宋体"/>
          <w:sz w:val="28"/>
          <w:szCs w:val="28"/>
          <w:highlight w:val="none"/>
        </w:rPr>
        <w:t>存储</w:t>
      </w:r>
      <w:bookmarkEnd w:id="0"/>
      <w:r>
        <w:rPr>
          <w:rFonts w:hint="eastAsia" w:ascii="宋体" w:hAnsi="宋体" w:eastAsia="宋体" w:cs="宋体"/>
          <w:sz w:val="28"/>
          <w:szCs w:val="28"/>
          <w:highlight w:val="none"/>
        </w:rPr>
        <w:t>：使用3.5寸企业级机械硬盘，硬盘转速≥7200rpm，缓存≥256MB，采用CMR记录技术和氦气封装。配置RAID60，提供不少于600TB的可用存储空间；</w:t>
      </w:r>
    </w:p>
    <w:p w14:paraId="6B71229D">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▲5</w:t>
      </w:r>
      <w:r>
        <w:rPr>
          <w:rFonts w:hint="eastAsia" w:ascii="宋体" w:hAnsi="宋体" w:eastAsia="宋体" w:cs="宋体"/>
          <w:sz w:val="28"/>
          <w:szCs w:val="28"/>
          <w:highlight w:val="none"/>
        </w:rPr>
        <w:t>阵列卡：独立的RAID阵列卡，缓存至少为8GB，传输速率至少为12Gbps，支持RAID 0、1、5、6、10、50、60模式；</w:t>
      </w:r>
    </w:p>
    <w:p w14:paraId="33AF0479">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6 供电模块：配备至少1600W的1+1冗余供电模块；</w:t>
      </w:r>
    </w:p>
    <w:p w14:paraId="5C4B5EA3">
      <w:pPr>
        <w:rPr>
          <w:rFonts w:hint="eastAsia" w:ascii="宋体" w:hAnsi="宋体" w:eastAsia="宋体" w:cs="宋体"/>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sz w:val="28"/>
          <w:szCs w:val="28"/>
          <w:highlight w:val="none"/>
        </w:rPr>
        <w:t>7 网络：不低于25Gbps的SFP28光口（含光模块）；</w:t>
      </w:r>
    </w:p>
    <w:p w14:paraId="2210FB7D">
      <w:pPr>
        <w:ind w:left="280" w:hanging="280" w:hangingChars="10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▲8 作业调度平台：支持 SLURM、PBS 等作业调度平台进行任务提交；提供作业实时和历史信息的管理与监控功能；支持对作业提交时的 CPU 与内存使用合理性进行监控；</w:t>
      </w:r>
    </w:p>
    <w:p w14:paraId="238B9E8E">
      <w:pPr>
        <w:ind w:left="280" w:hanging="280" w:hangingChars="1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 xml:space="preserve">▲9 管理平台：提供基于 Web </w:t>
      </w:r>
      <w:r>
        <w:rPr>
          <w:rFonts w:hint="eastAsia" w:ascii="宋体" w:hAnsi="宋体" w:eastAsia="宋体" w:cs="宋体"/>
          <w:color w:val="000000" w:themeColor="text1"/>
          <w:kern w:val="0"/>
          <w:sz w:val="28"/>
          <w:szCs w:val="28"/>
          <w14:textFill>
            <w14:solidFill>
              <w14:schemeClr w14:val="tx1"/>
            </w14:solidFill>
          </w14:textFill>
        </w:rPr>
        <w:t>技术的 GUI 界面；支持用户与用户组管理；支持 CPU、GPU、内存和网络等系统资源的实时监控和使用率分析；支持对作业异常的统计分析与汇总；能通过邮件等方式对系统安全事件进行告警通知；支持配置 IP 白名单/黑名单策略；支持限制用户或用户组的可用计算资源；支持存储管理并可对用户存储空间进行配额设置；提供对用户使用资源的记账管理功能。</w:t>
      </w:r>
    </w:p>
    <w:p w14:paraId="12124565">
      <w:pPr>
        <w:rPr>
          <w:rFonts w:hint="eastAsia" w:ascii="宋体" w:hAnsi="宋体" w:eastAsia="宋体" w:cs="宋体"/>
          <w:sz w:val="28"/>
          <w:szCs w:val="28"/>
        </w:rPr>
      </w:pPr>
      <w:r>
        <w:rPr>
          <w:rFonts w:hint="eastAsia" w:ascii="宋体" w:hAnsi="宋体" w:eastAsia="宋体" w:cs="宋体"/>
          <w:sz w:val="28"/>
          <w:szCs w:val="28"/>
        </w:rPr>
        <w:t>10规格：4U机架式，支持不少于36个3.5寸热插拔硬盘位；</w:t>
      </w:r>
    </w:p>
    <w:p w14:paraId="71D6DB93">
      <w:pPr>
        <w:ind w:left="280" w:hanging="280" w:hangingChars="1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11 操作系统：支持Red Hat Linux 5.6/6.8、Ubuntu 22.04 LTS或更高版本操作系统。</w:t>
      </w:r>
    </w:p>
    <w:p w14:paraId="71BBECCA">
      <w:pPr>
        <w:ind w:left="280" w:hanging="280" w:hangingChars="100"/>
        <w:rPr>
          <w:rFonts w:hint="eastAsia" w:ascii="宋体" w:hAnsi="宋体" w:eastAsia="宋体" w:cs="宋体"/>
          <w:color w:val="000000" w:themeColor="text1"/>
          <w:kern w:val="0"/>
          <w:sz w:val="28"/>
          <w:szCs w:val="28"/>
          <w14:textFill>
            <w14:solidFill>
              <w14:schemeClr w14:val="tx1"/>
            </w14:solidFill>
          </w14:textFill>
        </w:rPr>
      </w:pPr>
    </w:p>
    <w:p w14:paraId="4F938500">
      <w:pPr>
        <w:ind w:left="281" w:hanging="281" w:hangingChars="100"/>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数据交换机</w:t>
      </w:r>
    </w:p>
    <w:p w14:paraId="52852B1F">
      <w:pPr>
        <w:ind w:left="280" w:hanging="280" w:hangingChars="100"/>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sz w:val="28"/>
          <w:szCs w:val="28"/>
        </w:rPr>
        <w:t>20 硬件规格：不少于 8 个固定 25GbE SFP28光口，支持可插拔双电源；</w:t>
      </w:r>
    </w:p>
    <w:p w14:paraId="0FB02580">
      <w:pPr>
        <w:ind w:left="280" w:hanging="280" w:hangingChars="100"/>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sz w:val="28"/>
          <w:szCs w:val="28"/>
        </w:rPr>
        <w:t>21 性能：交换容量不小于 20 Tbps，包转发率不低于 1100 Mpps。</w:t>
      </w:r>
    </w:p>
    <w:p w14:paraId="22830328">
      <w:pPr>
        <w:rPr>
          <w:rFonts w:hint="eastAsia" w:ascii="宋体" w:hAnsi="宋体" w:eastAsia="宋体" w:cs="宋体"/>
          <w:sz w:val="28"/>
          <w:szCs w:val="28"/>
        </w:rPr>
      </w:pPr>
    </w:p>
    <w:p w14:paraId="66F4419B">
      <w:pPr>
        <w:rPr>
          <w:rFonts w:hint="eastAsia" w:ascii="宋体" w:hAnsi="宋体" w:eastAsia="宋体" w:cs="宋体"/>
          <w:sz w:val="28"/>
          <w:szCs w:val="28"/>
        </w:rPr>
      </w:pPr>
      <w:r>
        <w:rPr>
          <w:rFonts w:hint="eastAsia" w:ascii="宋体" w:hAnsi="宋体" w:eastAsia="宋体" w:cs="宋体"/>
          <w:b/>
          <w:bCs/>
          <w:sz w:val="28"/>
          <w:szCs w:val="28"/>
        </w:rPr>
        <w:t>其他要求：</w:t>
      </w:r>
    </w:p>
    <w:p w14:paraId="4573BD38">
      <w:pPr>
        <w:rPr>
          <w:rFonts w:hint="eastAsia" w:ascii="宋体" w:hAnsi="宋体" w:eastAsia="宋体" w:cs="宋体"/>
          <w:sz w:val="28"/>
          <w:szCs w:val="28"/>
        </w:rPr>
      </w:pPr>
      <w:r>
        <w:rPr>
          <w:rFonts w:hint="eastAsia" w:ascii="宋体" w:hAnsi="宋体" w:eastAsia="宋体" w:cs="宋体"/>
          <w:sz w:val="28"/>
          <w:szCs w:val="28"/>
        </w:rPr>
        <w:t>一、售后：原厂≥3年整机产品替换质保；7x24小时电话网络支持，合同期内，免费送货上门、安装、调试；免费负责采购人维修、操作、技术人员的培训，并无偿提供培训资料。售后服务费用包含在报价中。发生故障接到售后服务要求后，应承诺在1小时内响应并提出解决方案，4小时内到现场进行故障处理</w:t>
      </w:r>
      <w:r>
        <w:rPr>
          <w:rFonts w:hint="eastAsia" w:ascii="宋体" w:hAnsi="宋体" w:eastAsia="宋体" w:cs="宋体"/>
          <w:sz w:val="28"/>
          <w:szCs w:val="28"/>
          <w:lang w:eastAsia="zh-CN"/>
        </w:rPr>
        <w:t>。</w:t>
      </w:r>
    </w:p>
    <w:p w14:paraId="67CACD76">
      <w:pPr>
        <w:rPr>
          <w:rFonts w:hint="eastAsia" w:ascii="宋体" w:hAnsi="宋体" w:eastAsia="宋体" w:cs="宋体"/>
          <w:sz w:val="28"/>
          <w:szCs w:val="28"/>
        </w:rPr>
      </w:pPr>
      <w:r>
        <w:rPr>
          <w:rFonts w:hint="eastAsia" w:ascii="宋体" w:hAnsi="宋体" w:eastAsia="宋体" w:cs="宋体"/>
          <w:sz w:val="28"/>
          <w:szCs w:val="28"/>
        </w:rPr>
        <w:t>二、商务资质认证要求：产品通过中国国家强制CCC认证。质量管理体系符合：GB/T19001-2016/ISO9001</w:t>
      </w:r>
      <w:r>
        <w:rPr>
          <w:rFonts w:hint="eastAsia" w:ascii="宋体" w:hAnsi="宋体" w:eastAsia="宋体" w:cs="宋体"/>
          <w:sz w:val="28"/>
          <w:szCs w:val="28"/>
          <w:lang w:eastAsia="zh-CN"/>
        </w:rPr>
        <w:t>:</w:t>
      </w:r>
      <w:r>
        <w:rPr>
          <w:rFonts w:hint="eastAsia" w:ascii="宋体" w:hAnsi="宋体" w:eastAsia="宋体" w:cs="宋体"/>
          <w:sz w:val="28"/>
          <w:szCs w:val="28"/>
        </w:rPr>
        <w:t>2015标准；</w:t>
      </w:r>
    </w:p>
    <w:p w14:paraId="3FCFE986">
      <w:pPr>
        <w:rPr>
          <w:rFonts w:hint="eastAsia" w:ascii="宋体" w:hAnsi="宋体" w:eastAsia="宋体" w:cs="宋体"/>
          <w:sz w:val="28"/>
          <w:szCs w:val="28"/>
        </w:rPr>
      </w:pPr>
      <w:r>
        <w:rPr>
          <w:rFonts w:hint="eastAsia" w:ascii="宋体" w:hAnsi="宋体" w:eastAsia="宋体" w:cs="宋体"/>
          <w:sz w:val="28"/>
          <w:szCs w:val="28"/>
        </w:rPr>
        <w:t>三、验收时须提供生产厂家针对本项目出具售后服务承诺书原件或复印件。</w:t>
      </w:r>
    </w:p>
    <w:p w14:paraId="5E100143">
      <w:pPr>
        <w:rPr>
          <w:rFonts w:hint="eastAsia" w:ascii="宋体" w:hAnsi="宋体" w:eastAsia="宋体" w:cs="宋体"/>
          <w:sz w:val="24"/>
        </w:rPr>
      </w:pPr>
      <w:bookmarkStart w:id="1" w:name="_GoBack"/>
      <w:bookmarkEnd w:id="1"/>
    </w:p>
    <w:sectPr>
      <w:pgSz w:w="11906" w:h="16838"/>
      <w:pgMar w:top="110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34"/>
    <w:rsid w:val="0001592A"/>
    <w:rsid w:val="00023665"/>
    <w:rsid w:val="0005760B"/>
    <w:rsid w:val="00071FCC"/>
    <w:rsid w:val="0007273B"/>
    <w:rsid w:val="00082F71"/>
    <w:rsid w:val="000A59EE"/>
    <w:rsid w:val="000A7CAD"/>
    <w:rsid w:val="000A7E25"/>
    <w:rsid w:val="000F6785"/>
    <w:rsid w:val="00101C4E"/>
    <w:rsid w:val="00122B41"/>
    <w:rsid w:val="00147A69"/>
    <w:rsid w:val="0015505D"/>
    <w:rsid w:val="001567E2"/>
    <w:rsid w:val="001630D5"/>
    <w:rsid w:val="00171A1D"/>
    <w:rsid w:val="001A1B1C"/>
    <w:rsid w:val="001D456A"/>
    <w:rsid w:val="00202FB4"/>
    <w:rsid w:val="00220AE8"/>
    <w:rsid w:val="00233A4C"/>
    <w:rsid w:val="0027267F"/>
    <w:rsid w:val="00273938"/>
    <w:rsid w:val="002969B4"/>
    <w:rsid w:val="002A7E41"/>
    <w:rsid w:val="002D3F0C"/>
    <w:rsid w:val="002E475D"/>
    <w:rsid w:val="002E6C16"/>
    <w:rsid w:val="0030182D"/>
    <w:rsid w:val="00332AE3"/>
    <w:rsid w:val="003448D4"/>
    <w:rsid w:val="00345889"/>
    <w:rsid w:val="00352F26"/>
    <w:rsid w:val="003627B8"/>
    <w:rsid w:val="003A5DB9"/>
    <w:rsid w:val="003A6A25"/>
    <w:rsid w:val="003C29D4"/>
    <w:rsid w:val="003C588D"/>
    <w:rsid w:val="003D6852"/>
    <w:rsid w:val="003F0D00"/>
    <w:rsid w:val="00425EBD"/>
    <w:rsid w:val="00436188"/>
    <w:rsid w:val="00451466"/>
    <w:rsid w:val="004640C8"/>
    <w:rsid w:val="00475CC4"/>
    <w:rsid w:val="00482770"/>
    <w:rsid w:val="00491602"/>
    <w:rsid w:val="00491E42"/>
    <w:rsid w:val="00495AE9"/>
    <w:rsid w:val="004972D5"/>
    <w:rsid w:val="004B796D"/>
    <w:rsid w:val="004F6C1F"/>
    <w:rsid w:val="00510DFE"/>
    <w:rsid w:val="00517BEA"/>
    <w:rsid w:val="00540B44"/>
    <w:rsid w:val="00564C33"/>
    <w:rsid w:val="00566909"/>
    <w:rsid w:val="005669DC"/>
    <w:rsid w:val="00591F89"/>
    <w:rsid w:val="00592258"/>
    <w:rsid w:val="005A3366"/>
    <w:rsid w:val="005A4289"/>
    <w:rsid w:val="005A69DC"/>
    <w:rsid w:val="005C799B"/>
    <w:rsid w:val="005E3577"/>
    <w:rsid w:val="005E67ED"/>
    <w:rsid w:val="00600EBA"/>
    <w:rsid w:val="00602F20"/>
    <w:rsid w:val="00603121"/>
    <w:rsid w:val="006302F2"/>
    <w:rsid w:val="0063794D"/>
    <w:rsid w:val="00695E16"/>
    <w:rsid w:val="006B5185"/>
    <w:rsid w:val="006C7AD8"/>
    <w:rsid w:val="006E1C48"/>
    <w:rsid w:val="006E761D"/>
    <w:rsid w:val="006F1729"/>
    <w:rsid w:val="006F5479"/>
    <w:rsid w:val="006F5D12"/>
    <w:rsid w:val="006F681E"/>
    <w:rsid w:val="00711D6A"/>
    <w:rsid w:val="00726D93"/>
    <w:rsid w:val="00727625"/>
    <w:rsid w:val="00747A6E"/>
    <w:rsid w:val="00754C79"/>
    <w:rsid w:val="007572A6"/>
    <w:rsid w:val="00784C53"/>
    <w:rsid w:val="00795074"/>
    <w:rsid w:val="007A72FC"/>
    <w:rsid w:val="007D4DF9"/>
    <w:rsid w:val="007E6C98"/>
    <w:rsid w:val="00815BDC"/>
    <w:rsid w:val="0081762E"/>
    <w:rsid w:val="00817727"/>
    <w:rsid w:val="00820BF0"/>
    <w:rsid w:val="008225D9"/>
    <w:rsid w:val="00825C91"/>
    <w:rsid w:val="00850854"/>
    <w:rsid w:val="0086485B"/>
    <w:rsid w:val="00870ACC"/>
    <w:rsid w:val="008721D1"/>
    <w:rsid w:val="00882E58"/>
    <w:rsid w:val="00885E44"/>
    <w:rsid w:val="0088641E"/>
    <w:rsid w:val="0088770F"/>
    <w:rsid w:val="00887A46"/>
    <w:rsid w:val="008D6F66"/>
    <w:rsid w:val="008E4008"/>
    <w:rsid w:val="008F49F3"/>
    <w:rsid w:val="008F6E99"/>
    <w:rsid w:val="00900F1F"/>
    <w:rsid w:val="00910834"/>
    <w:rsid w:val="0094050F"/>
    <w:rsid w:val="00942AAD"/>
    <w:rsid w:val="00971D0C"/>
    <w:rsid w:val="009775EF"/>
    <w:rsid w:val="00986BED"/>
    <w:rsid w:val="00987203"/>
    <w:rsid w:val="00995937"/>
    <w:rsid w:val="009C2808"/>
    <w:rsid w:val="009D4D9C"/>
    <w:rsid w:val="009F541E"/>
    <w:rsid w:val="009F7E88"/>
    <w:rsid w:val="00A11F31"/>
    <w:rsid w:val="00A3709F"/>
    <w:rsid w:val="00A510D2"/>
    <w:rsid w:val="00A7586B"/>
    <w:rsid w:val="00A816F2"/>
    <w:rsid w:val="00A86584"/>
    <w:rsid w:val="00A90DE1"/>
    <w:rsid w:val="00A96158"/>
    <w:rsid w:val="00AA75D2"/>
    <w:rsid w:val="00AB7D56"/>
    <w:rsid w:val="00AC01BB"/>
    <w:rsid w:val="00AD09FE"/>
    <w:rsid w:val="00AF00F1"/>
    <w:rsid w:val="00AF08EE"/>
    <w:rsid w:val="00AF4FB7"/>
    <w:rsid w:val="00B1404B"/>
    <w:rsid w:val="00B16AF4"/>
    <w:rsid w:val="00B17DF8"/>
    <w:rsid w:val="00B20F41"/>
    <w:rsid w:val="00B22434"/>
    <w:rsid w:val="00B516FB"/>
    <w:rsid w:val="00B60147"/>
    <w:rsid w:val="00B73417"/>
    <w:rsid w:val="00B95C75"/>
    <w:rsid w:val="00BA458E"/>
    <w:rsid w:val="00BB5119"/>
    <w:rsid w:val="00BB5269"/>
    <w:rsid w:val="00BC0347"/>
    <w:rsid w:val="00BC0B22"/>
    <w:rsid w:val="00BC1F26"/>
    <w:rsid w:val="00BD2D33"/>
    <w:rsid w:val="00C1092E"/>
    <w:rsid w:val="00C15CE2"/>
    <w:rsid w:val="00C479E4"/>
    <w:rsid w:val="00C561CD"/>
    <w:rsid w:val="00C5708B"/>
    <w:rsid w:val="00C63BAB"/>
    <w:rsid w:val="00C87A5C"/>
    <w:rsid w:val="00C92FEB"/>
    <w:rsid w:val="00C93294"/>
    <w:rsid w:val="00CB6B77"/>
    <w:rsid w:val="00D12FD8"/>
    <w:rsid w:val="00D15718"/>
    <w:rsid w:val="00D535E6"/>
    <w:rsid w:val="00D53B73"/>
    <w:rsid w:val="00D721CA"/>
    <w:rsid w:val="00D74137"/>
    <w:rsid w:val="00D87799"/>
    <w:rsid w:val="00D911AD"/>
    <w:rsid w:val="00D93C68"/>
    <w:rsid w:val="00DA7479"/>
    <w:rsid w:val="00DC48FA"/>
    <w:rsid w:val="00DF09EC"/>
    <w:rsid w:val="00E11CB8"/>
    <w:rsid w:val="00E2119A"/>
    <w:rsid w:val="00E30541"/>
    <w:rsid w:val="00E30804"/>
    <w:rsid w:val="00E47446"/>
    <w:rsid w:val="00E72B0B"/>
    <w:rsid w:val="00E76AD0"/>
    <w:rsid w:val="00E8308A"/>
    <w:rsid w:val="00E9289A"/>
    <w:rsid w:val="00E9705E"/>
    <w:rsid w:val="00EC2DD7"/>
    <w:rsid w:val="00EC32BE"/>
    <w:rsid w:val="00EC41C3"/>
    <w:rsid w:val="00EF039E"/>
    <w:rsid w:val="00F06AFA"/>
    <w:rsid w:val="00F13E33"/>
    <w:rsid w:val="00F14AB9"/>
    <w:rsid w:val="00F164C6"/>
    <w:rsid w:val="00F20FEC"/>
    <w:rsid w:val="00F245B2"/>
    <w:rsid w:val="00F37A7C"/>
    <w:rsid w:val="00F56B5B"/>
    <w:rsid w:val="00F909B3"/>
    <w:rsid w:val="00FA1526"/>
    <w:rsid w:val="00FC0D2F"/>
    <w:rsid w:val="00FC43CC"/>
    <w:rsid w:val="00FC7FBA"/>
    <w:rsid w:val="00FD1DAC"/>
    <w:rsid w:val="07350087"/>
    <w:rsid w:val="07640E8F"/>
    <w:rsid w:val="083614F0"/>
    <w:rsid w:val="08D12974"/>
    <w:rsid w:val="12E0359D"/>
    <w:rsid w:val="13682D04"/>
    <w:rsid w:val="181141F9"/>
    <w:rsid w:val="28652521"/>
    <w:rsid w:val="29F25306"/>
    <w:rsid w:val="2AB7395D"/>
    <w:rsid w:val="30A026C3"/>
    <w:rsid w:val="3D8253C0"/>
    <w:rsid w:val="3DF022AF"/>
    <w:rsid w:val="3E5967E1"/>
    <w:rsid w:val="3EF721D5"/>
    <w:rsid w:val="4A4E5201"/>
    <w:rsid w:val="4F2761BD"/>
    <w:rsid w:val="510E29EB"/>
    <w:rsid w:val="51F47385"/>
    <w:rsid w:val="524644C3"/>
    <w:rsid w:val="52815E39"/>
    <w:rsid w:val="52A06B10"/>
    <w:rsid w:val="57EE28CF"/>
    <w:rsid w:val="66540DEB"/>
    <w:rsid w:val="70D624AE"/>
    <w:rsid w:val="7C44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9"/>
    <w:unhideWhenUsed/>
    <w:qFormat/>
    <w:uiPriority w:val="99"/>
    <w:pPr>
      <w:tabs>
        <w:tab w:val="center" w:pos="4153"/>
        <w:tab w:val="right" w:pos="8306"/>
      </w:tabs>
      <w:snapToGrid w:val="0"/>
      <w:spacing w:line="240" w:lineRule="auto"/>
      <w:jc w:val="center"/>
    </w:pPr>
    <w:rPr>
      <w:sz w:val="18"/>
      <w:szCs w:val="18"/>
    </w:rPr>
  </w:style>
  <w:style w:type="paragraph" w:styleId="4">
    <w:name w:val="Normal (Web)"/>
    <w:basedOn w:val="1"/>
    <w:semiHidden/>
    <w:unhideWhenUsed/>
    <w:qFormat/>
    <w:uiPriority w:val="99"/>
    <w:pPr>
      <w:spacing w:beforeAutospacing="1" w:after="0" w:afterAutospacing="1"/>
    </w:pPr>
    <w:rPr>
      <w:rFonts w:cs="Times New Roman"/>
      <w:kern w:val="0"/>
      <w:sz w:val="24"/>
    </w:rPr>
  </w:style>
  <w:style w:type="paragraph" w:styleId="5">
    <w:name w:val="Title"/>
    <w:basedOn w:val="1"/>
    <w:link w:val="8"/>
    <w:qFormat/>
    <w:uiPriority w:val="0"/>
    <w:pPr>
      <w:spacing w:before="240" w:after="60" w:line="240" w:lineRule="auto"/>
      <w:jc w:val="center"/>
      <w:outlineLvl w:val="0"/>
    </w:pPr>
    <w:rPr>
      <w:rFonts w:ascii="Arial" w:hAnsi="Arial" w:eastAsia="宋体" w:cs="Times New Roman"/>
      <w:b/>
      <w:sz w:val="32"/>
      <w14:ligatures w14:val="none"/>
    </w:rPr>
  </w:style>
  <w:style w:type="character" w:customStyle="1" w:styleId="8">
    <w:name w:val="标题 字符"/>
    <w:basedOn w:val="7"/>
    <w:link w:val="5"/>
    <w:qFormat/>
    <w:uiPriority w:val="0"/>
    <w:rPr>
      <w:rFonts w:ascii="Arial" w:hAnsi="Arial" w:eastAsia="宋体" w:cs="Times New Roman"/>
      <w:b/>
      <w:sz w:val="32"/>
      <w14:ligatures w14:val="none"/>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1273</Words>
  <Characters>1610</Characters>
  <Lines>12</Lines>
  <Paragraphs>3</Paragraphs>
  <TotalTime>1264</TotalTime>
  <ScaleCrop>false</ScaleCrop>
  <LinksUpToDate>false</LinksUpToDate>
  <CharactersWithSpaces>1683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2025-04-03T07:07:00Z</dcterms:created>
  <dc:creator>曦 晨</dc:creator>
  <cp:lastModifiedBy>我爱熊猫</cp:lastModifiedBy>
  <dcterms:modified xsi:type="dcterms:W3CDTF">2025-04-22T09:31:52Z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0DE69AFDA46346EA9E7ECAA780230453_13</vt:lpwstr>
  </property>
  <property fmtid="{D5CDD505-2E9C-101B-9397-08002B2CF9AE}" pid="4" name="KSOTemplateDocerSaveRecord">
    <vt:lpwstr>eyJoZGlkIjoiYzRlYzk2ZGE4ZTc3YmQ2YzUwOTE0NThjY2Q0NjA3YjEiLCJ1c2VySWQiOiIyMzc0MzQyMjEifQ==</vt:lpwstr>
  </property>
</Properties>
</file>