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36" w:tblpY="1518"/>
        <w:tblOverlap w:val="never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37"/>
        <w:gridCol w:w="5893"/>
        <w:gridCol w:w="853"/>
        <w:gridCol w:w="1598"/>
      </w:tblGrid>
      <w:tr w14:paraId="4A85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9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Arial" w:hAnsi="Arial" w:cs="Arial"/>
                <w:b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6"/>
                <w:szCs w:val="36"/>
                <w:highlight w:val="none"/>
                <w:lang w:val="en-US" w:eastAsia="zh-CN"/>
              </w:rPr>
              <w:t>中山大学附属第一医院广西医院2024年运营情况专项审计服务的评分办法</w:t>
            </w:r>
          </w:p>
        </w:tc>
      </w:tr>
      <w:tr w14:paraId="27BF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auto" w:sz="4" w:space="0"/>
            </w:tcBorders>
            <w:vAlign w:val="center"/>
          </w:tcPr>
          <w:p w14:paraId="639984DB">
            <w:pPr>
              <w:jc w:val="center"/>
              <w:rPr>
                <w:rFonts w:hint="eastAsia" w:ascii="Arial" w:hAnsi="Arial" w:eastAsia="宋体" w:cs="Arial"/>
                <w:b/>
                <w:sz w:val="24"/>
                <w:szCs w:val="24"/>
                <w:highlight w:val="none"/>
                <w:lang w:eastAsia="zh-CN"/>
              </w:rPr>
            </w:pPr>
          </w:p>
          <w:p w14:paraId="470DC224">
            <w:pPr>
              <w:jc w:val="center"/>
              <w:rPr>
                <w:rFonts w:hint="eastAsia" w:ascii="Arial" w:hAnsi="Arial" w:eastAsia="宋体" w:cs="Arial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</w:tcBorders>
            <w:vAlign w:val="center"/>
          </w:tcPr>
          <w:p w14:paraId="5507C71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5893" w:type="dxa"/>
            <w:tcBorders>
              <w:top w:val="single" w:color="auto" w:sz="4" w:space="0"/>
            </w:tcBorders>
            <w:vAlign w:val="center"/>
          </w:tcPr>
          <w:p w14:paraId="5348F2C9">
            <w:pPr>
              <w:jc w:val="center"/>
              <w:rPr>
                <w:rFonts w:hint="eastAsia" w:ascii="Arial" w:hAnsi="Arial" w:eastAsia="宋体" w:cs="Arial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 w14:paraId="28FF0B5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none"/>
              </w:rPr>
              <w:t>分值权重</w:t>
            </w:r>
          </w:p>
        </w:tc>
        <w:tc>
          <w:tcPr>
            <w:tcW w:w="1598" w:type="dxa"/>
            <w:tcBorders>
              <w:top w:val="single" w:color="auto" w:sz="4" w:space="0"/>
            </w:tcBorders>
            <w:vAlign w:val="center"/>
          </w:tcPr>
          <w:p w14:paraId="63C77963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none"/>
              </w:rPr>
              <w:t>说明</w:t>
            </w:r>
          </w:p>
        </w:tc>
      </w:tr>
      <w:tr w14:paraId="4F7E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vAlign w:val="center"/>
          </w:tcPr>
          <w:p w14:paraId="5B955806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37" w:type="dxa"/>
            <w:vAlign w:val="center"/>
          </w:tcPr>
          <w:p w14:paraId="03FAE774">
            <w:pPr>
              <w:jc w:val="center"/>
              <w:rPr>
                <w:rFonts w:hint="default" w:ascii="Arial" w:hAnsi="Arial" w:eastAsia="宋体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服务方案内容</w:t>
            </w:r>
          </w:p>
        </w:tc>
        <w:tc>
          <w:tcPr>
            <w:tcW w:w="5893" w:type="dxa"/>
            <w:vAlign w:val="center"/>
          </w:tcPr>
          <w:p w14:paraId="2D719E4D">
            <w:pPr>
              <w:rPr>
                <w:rFonts w:ascii="Arial" w:hAnsi="Arial" w:cs="Arial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阐述项目的服务工作方案（含评估服务工作的整体规划、实施步骤或方案、具体评估方法），未提供不得分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</w:rPr>
              <w:t>：</w:t>
            </w:r>
          </w:p>
          <w:p w14:paraId="514B995E">
            <w:pPr>
              <w:rPr>
                <w:rFonts w:ascii="Arial" w:hAnsi="Arial" w:cs="Arial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</w:rPr>
              <w:t>档（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</w:rPr>
              <w:t>分）：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整体服务方案不完整，不符合项目要求实施后较难达到项目目的，可行性较差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</w:rPr>
              <w:t>。</w:t>
            </w:r>
          </w:p>
          <w:p w14:paraId="2007F380">
            <w:pPr>
              <w:rPr>
                <w:rFonts w:ascii="Arial" w:hAnsi="Arial" w:cs="Arial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</w:rPr>
              <w:t>档（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</w:rPr>
              <w:t>分）：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整体服务方案较为全面，基本符合项目要求，能够达到项目目的，具备较好的可行性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</w:rPr>
              <w:t>。</w:t>
            </w:r>
          </w:p>
          <w:p w14:paraId="0CEDD251">
            <w:pPr>
              <w:rPr>
                <w:rFonts w:ascii="Arial" w:hAnsi="Arial" w:cs="Arial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</w:rPr>
              <w:t>档（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</w:rPr>
              <w:t>分）：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整体服务方案全面扎实，完全符合项目要求，能够有效达到项目目的，具有很好的可行性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853" w:type="dxa"/>
            <w:vAlign w:val="center"/>
          </w:tcPr>
          <w:p w14:paraId="2DB44009">
            <w:pPr>
              <w:jc w:val="center"/>
              <w:rPr>
                <w:rFonts w:ascii="Arial" w:hAnsi="Arial" w:cs="Arial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598" w:type="dxa"/>
            <w:vAlign w:val="center"/>
          </w:tcPr>
          <w:p w14:paraId="13676B19">
            <w:pPr>
              <w:rPr>
                <w:rFonts w:hint="eastAsia" w:ascii="Arial" w:hAnsi="Arial" w:eastAsia="宋体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0387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vAlign w:val="center"/>
          </w:tcPr>
          <w:p w14:paraId="5845B252">
            <w:pPr>
              <w:jc w:val="center"/>
              <w:rPr>
                <w:rFonts w:hint="eastAsia" w:ascii="Arial" w:hAnsi="Arial" w:eastAsia="宋体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37" w:type="dxa"/>
            <w:vAlign w:val="center"/>
          </w:tcPr>
          <w:p w14:paraId="0151089E">
            <w:pPr>
              <w:jc w:val="center"/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服务项目重难点分析及应对措施</w:t>
            </w:r>
          </w:p>
        </w:tc>
        <w:tc>
          <w:tcPr>
            <w:tcW w:w="5893" w:type="dxa"/>
            <w:vAlign w:val="center"/>
          </w:tcPr>
          <w:p w14:paraId="0B254F6F">
            <w:pP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阐述项目的重、难点内容，并根据项目重、难点提出明确的应对措施，未提供不得分：</w:t>
            </w:r>
          </w:p>
          <w:p w14:paraId="2D006545">
            <w:pP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一档（10分）：对项目认识理解浅显，重难点分析不合理，对应措施可行性差。</w:t>
            </w:r>
          </w:p>
          <w:p w14:paraId="33F2E67D">
            <w:pP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二档（15分）：对项目认识理解较透彻，重难点分析较合理，对应措施可行性较强。</w:t>
            </w:r>
          </w:p>
          <w:p w14:paraId="6F69A1F3">
            <w:pPr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三档（20分）：对项目认识理解透彻，重难点分析合理，对应措施可行性强。</w:t>
            </w:r>
          </w:p>
        </w:tc>
        <w:tc>
          <w:tcPr>
            <w:tcW w:w="853" w:type="dxa"/>
            <w:vAlign w:val="center"/>
          </w:tcPr>
          <w:p w14:paraId="7F57B1FD">
            <w:pPr>
              <w:jc w:val="center"/>
              <w:rPr>
                <w:rFonts w:hint="default" w:ascii="Arial" w:hAnsi="Arial" w:eastAsia="宋体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20分</w:t>
            </w:r>
          </w:p>
        </w:tc>
        <w:tc>
          <w:tcPr>
            <w:tcW w:w="1598" w:type="dxa"/>
            <w:vAlign w:val="center"/>
          </w:tcPr>
          <w:p w14:paraId="19E1A661">
            <w:pPr>
              <w:rPr>
                <w:rFonts w:ascii="Arial" w:hAnsi="Arial" w:cs="Arial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2858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vAlign w:val="center"/>
          </w:tcPr>
          <w:p w14:paraId="66AD529C">
            <w:pPr>
              <w:jc w:val="center"/>
              <w:rPr>
                <w:rFonts w:hint="eastAsia" w:ascii="Arial" w:hAnsi="Arial" w:eastAsia="宋体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37" w:type="dxa"/>
            <w:vAlign w:val="center"/>
          </w:tcPr>
          <w:p w14:paraId="3BF4C776">
            <w:pPr>
              <w:jc w:val="center"/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类似项目业绩</w:t>
            </w:r>
          </w:p>
        </w:tc>
        <w:tc>
          <w:tcPr>
            <w:tcW w:w="5893" w:type="dxa"/>
            <w:vAlign w:val="center"/>
          </w:tcPr>
          <w:p w14:paraId="7D0AE964">
            <w:pPr>
              <w:rPr>
                <w:rFonts w:hint="default" w:ascii="Arial" w:hAnsi="Arial" w:eastAsia="宋体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提供自2022年1月1日以来响应人承担过单位运营情况、财务报表、经济责任类似审计业绩，每1个业绩得5分，本项满分20分，不提供不得分。</w:t>
            </w:r>
          </w:p>
        </w:tc>
        <w:tc>
          <w:tcPr>
            <w:tcW w:w="853" w:type="dxa"/>
            <w:vAlign w:val="center"/>
          </w:tcPr>
          <w:p w14:paraId="56E8BFA9">
            <w:pPr>
              <w:jc w:val="center"/>
              <w:rPr>
                <w:rFonts w:hint="default" w:ascii="Arial" w:hAnsi="Arial" w:eastAsia="宋体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20分</w:t>
            </w:r>
          </w:p>
        </w:tc>
        <w:tc>
          <w:tcPr>
            <w:tcW w:w="1598" w:type="dxa"/>
            <w:vAlign w:val="center"/>
          </w:tcPr>
          <w:p w14:paraId="06405794">
            <w:pPr>
              <w:rPr>
                <w:rFonts w:hint="default" w:ascii="Arial" w:hAnsi="Arial" w:eastAsia="宋体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提供合同或成交通知书等相关证明文件，复印件加盖公章。</w:t>
            </w:r>
          </w:p>
        </w:tc>
      </w:tr>
      <w:tr w14:paraId="6679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6" w:type="dxa"/>
            <w:vAlign w:val="center"/>
          </w:tcPr>
          <w:p w14:paraId="60AA14FF">
            <w:pPr>
              <w:jc w:val="center"/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37" w:type="dxa"/>
            <w:vAlign w:val="center"/>
          </w:tcPr>
          <w:p w14:paraId="0EB0A987">
            <w:pPr>
              <w:jc w:val="center"/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5893" w:type="dxa"/>
            <w:vAlign w:val="center"/>
          </w:tcPr>
          <w:p w14:paraId="4D6F195E">
            <w:pPr>
              <w:numPr>
                <w:ilvl w:val="0"/>
                <w:numId w:val="1"/>
              </w:numPr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项目负责人：具备高级职称，且有3次相关运营情况、财务报表、经济责任审计服务的得6分；具备高级职称，且有2次相关运营情况、财务报表、经济责任审计服务的得3分；未配备高级职称的不得分（提供审计报告的相关成果证明文件关键页并加盖公章）。</w:t>
            </w:r>
          </w:p>
          <w:p w14:paraId="5DF7CADE">
            <w:pPr>
              <w:numPr>
                <w:ilvl w:val="0"/>
                <w:numId w:val="1"/>
              </w:numPr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项目其他成员具备高级职称的，每人得2分，本项最高得4分。</w:t>
            </w:r>
          </w:p>
          <w:p w14:paraId="1F3C8B90">
            <w:pPr>
              <w:numPr>
                <w:ilvl w:val="0"/>
                <w:numId w:val="1"/>
              </w:numPr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项目其他成员具备中级及以上职称的，每人得1分，本项最高得2分。</w:t>
            </w:r>
          </w:p>
          <w:p w14:paraId="4D13C070">
            <w:pPr>
              <w:numPr>
                <w:ilvl w:val="0"/>
                <w:numId w:val="1"/>
              </w:numPr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除上述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人员外，每增加一人得1分，本项最高3分。</w:t>
            </w:r>
          </w:p>
          <w:p w14:paraId="5DDB34D6">
            <w:pPr>
              <w:numPr>
                <w:ilvl w:val="-1"/>
                <w:numId w:val="0"/>
              </w:numPr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 w:val="24"/>
                <w:highlight w:val="none"/>
              </w:rPr>
              <w:t>（以上个人职称不重复计算，须提供相关证明材料复印件并加盖公章，否则视为无效）</w:t>
            </w:r>
          </w:p>
        </w:tc>
        <w:tc>
          <w:tcPr>
            <w:tcW w:w="853" w:type="dxa"/>
            <w:vAlign w:val="center"/>
          </w:tcPr>
          <w:p w14:paraId="77D88568">
            <w:pPr>
              <w:jc w:val="center"/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15分</w:t>
            </w:r>
          </w:p>
        </w:tc>
        <w:tc>
          <w:tcPr>
            <w:tcW w:w="1598" w:type="dxa"/>
            <w:vAlign w:val="center"/>
          </w:tcPr>
          <w:p w14:paraId="5155CB76">
            <w:pPr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提供职称证书和在本单位（或分支机构）缴纳相应人员的社保证明材料（最近半年内</w:t>
            </w:r>
            <w:r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</w:rPr>
              <w:t>的任意连续3个月</w:t>
            </w: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），复印件加盖公章。</w:t>
            </w:r>
          </w:p>
        </w:tc>
      </w:tr>
      <w:tr w14:paraId="3004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vAlign w:val="center"/>
          </w:tcPr>
          <w:p w14:paraId="5DCFA420">
            <w:pPr>
              <w:jc w:val="center"/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37" w:type="dxa"/>
            <w:vAlign w:val="center"/>
          </w:tcPr>
          <w:p w14:paraId="1FE5B8B0">
            <w:pPr>
              <w:jc w:val="center"/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报价</w:t>
            </w:r>
          </w:p>
          <w:p w14:paraId="112C75DD">
            <w:pPr>
              <w:jc w:val="center"/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得分</w:t>
            </w:r>
          </w:p>
        </w:tc>
        <w:tc>
          <w:tcPr>
            <w:tcW w:w="5893" w:type="dxa"/>
            <w:vAlign w:val="center"/>
          </w:tcPr>
          <w:p w14:paraId="4CEF47AE"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价格分采用低价优先法计算，即满足采购需求且响应价格最低的报价为评审基准价，其价格分为满分。其他响应人的价格分统一按照下列公式计算：报价得分=（评标基准价/某响应人报价）×分值权重。</w:t>
            </w:r>
          </w:p>
        </w:tc>
        <w:tc>
          <w:tcPr>
            <w:tcW w:w="853" w:type="dxa"/>
            <w:vAlign w:val="center"/>
          </w:tcPr>
          <w:p w14:paraId="1F73D7DC">
            <w:pPr>
              <w:jc w:val="center"/>
              <w:rPr>
                <w:rFonts w:hint="default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20分</w:t>
            </w:r>
          </w:p>
        </w:tc>
        <w:tc>
          <w:tcPr>
            <w:tcW w:w="1598" w:type="dxa"/>
            <w:vAlign w:val="center"/>
          </w:tcPr>
          <w:p w14:paraId="4E46F821">
            <w:pPr>
              <w:rPr>
                <w:rFonts w:hint="eastAsia" w:ascii="Arial" w:hAnsi="Arial" w:cs="Arial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5EDDC10D">
      <w:pPr>
        <w:rPr>
          <w:sz w:val="24"/>
        </w:rPr>
      </w:pPr>
    </w:p>
    <w:sectPr>
      <w:pgSz w:w="11906" w:h="16838"/>
      <w:pgMar w:top="1440" w:right="1417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D7051"/>
    <w:multiLevelType w:val="singleLevel"/>
    <w:tmpl w:val="781D705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E3139"/>
    <w:rsid w:val="203F7B19"/>
    <w:rsid w:val="21E569A7"/>
    <w:rsid w:val="2A386971"/>
    <w:rsid w:val="374F707D"/>
    <w:rsid w:val="3B262D6D"/>
    <w:rsid w:val="59DF5187"/>
    <w:rsid w:val="68792AA5"/>
    <w:rsid w:val="6FB87AD8"/>
    <w:rsid w:val="79DE6C18"/>
    <w:rsid w:val="7A9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888</Words>
  <Characters>906</Characters>
  <Lines>0</Lines>
  <Paragraphs>0</Paragraphs>
  <TotalTime>13</TotalTime>
  <ScaleCrop>false</ScaleCrop>
  <LinksUpToDate>false</LinksUpToDate>
  <CharactersWithSpaces>907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2025-04-14T05:30:00Z</dcterms:created>
  <dc:creator>Administrator</dc:creator>
  <cp:lastModifiedBy>秋秋</cp:lastModifiedBy>
  <dcterms:modified xsi:type="dcterms:W3CDTF">2025-04-16T03:25:08Z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eyJoZGlkIjoiY2Q2MjU2MzMxMTIyNzIyYTQyZjg1OTZhMmRkYzhlY2QiLCJ1c2VySWQiOiI0MTcxNjY3MTMifQ==</vt:lpwstr>
  </property>
  <property fmtid="{D5CDD505-2E9C-101B-9397-08002B2CF9AE}" pid="4" name="ICV">
    <vt:lpwstr>64C4337E98B84421A2F8043575800F84_13</vt:lpwstr>
  </property>
</Properties>
</file>