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75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中山大学附属第一医院广西医院</w:t>
      </w:r>
    </w:p>
    <w:p w14:paraId="17821BA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物流系统专项工程市场调研需求</w:t>
      </w:r>
    </w:p>
    <w:p w14:paraId="0377E934">
      <w:pPr>
        <w:pStyle w:val="2"/>
        <w:rPr>
          <w:rFonts w:hint="eastAsia"/>
          <w:lang w:val="en-US" w:eastAsia="zh-CN"/>
        </w:rPr>
      </w:pPr>
    </w:p>
    <w:p w14:paraId="3DB102CB">
      <w:pPr>
        <w:pStyle w:val="2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一 、项目概况</w:t>
      </w:r>
    </w:p>
    <w:p w14:paraId="57B1D2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中山大学附属第一医院广西医院总用地面积90.6亩，总建筑面积356506.54㎡。其中一期项目建筑面积115562.51㎡，床位数500张，建有4层门诊楼、13层医技住院楼和3层地下室，现已建成投入使用，目前仅在门诊楼配置有气动物流系统；二期项目建筑面积240944.03㎡，床位数1200张，规划6层门诊楼、12层科研教学楼和20层医技住院楼，当前正在建设中，预计2027年完工。</w:t>
      </w:r>
    </w:p>
    <w:p w14:paraId="7522AB5B">
      <w:pPr>
        <w:pStyle w:val="2"/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工程实施和询价范围</w:t>
      </w:r>
    </w:p>
    <w:p w14:paraId="400D9E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1、对一期项目物流系统进行改造提升。</w:t>
      </w:r>
    </w:p>
    <w:p w14:paraId="0AADBB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2、对二期项目新建物流系统，兼容联通控制一期所有物流系统。</w:t>
      </w:r>
    </w:p>
    <w:p w14:paraId="7CB8C0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具体数量如下：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292"/>
        <w:gridCol w:w="1292"/>
        <w:gridCol w:w="1295"/>
        <w:gridCol w:w="1296"/>
        <w:gridCol w:w="1296"/>
        <w:gridCol w:w="1330"/>
        <w:gridCol w:w="1296"/>
        <w:gridCol w:w="1296"/>
        <w:gridCol w:w="1296"/>
        <w:gridCol w:w="1372"/>
      </w:tblGrid>
      <w:tr w14:paraId="7B22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 w:bidi="ar"/>
              </w:rPr>
              <w:t>一、中型物流系统站点一览表</w:t>
            </w:r>
          </w:p>
        </w:tc>
      </w:tr>
      <w:tr w14:paraId="1B54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3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新建站点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8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新建站点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 w14:paraId="092A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2D90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Style w:val="7"/>
                <w:rFonts w:hint="default" w:ascii="微软雅黑" w:hAnsi="微软雅黑" w:eastAsia="微软雅黑" w:cs="微软雅黑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 xml:space="preserve">     </w:t>
            </w:r>
          </w:p>
          <w:p w14:paraId="63D3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楼层</w:t>
            </w:r>
          </w:p>
          <w:p w14:paraId="14AA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井道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LT1（预留机器人进井道）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LT2（预留机器人进井道）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LT10</w:t>
            </w:r>
          </w:p>
        </w:tc>
      </w:tr>
      <w:tr w14:paraId="03D1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微软雅黑" w:hAnsi="微软雅黑" w:eastAsia="微软雅黑" w:cs="微软雅黑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井道设置方式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  <w:t>沿用土建预留井道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  <w:t>沿用土建预留井道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  <w:t>沿用土建预留井道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  <w:t>沿用土建预留井道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  <w:t>沿用土建预留井道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  <w:t>沿用土建预留井道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微软雅黑" w:hAnsi="微软雅黑" w:eastAsia="微软雅黑" w:cs="微软雅黑"/>
                <w:b/>
                <w:bCs/>
                <w:color w:val="C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C00000"/>
                <w:sz w:val="18"/>
                <w:szCs w:val="18"/>
                <w:lang w:val="en-US" w:eastAsia="zh-CN" w:bidi="ar"/>
              </w:rPr>
              <w:t>新建井道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C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C00000"/>
                <w:sz w:val="18"/>
                <w:szCs w:val="18"/>
                <w:lang w:val="en-US" w:eastAsia="zh-CN" w:bidi="ar"/>
              </w:rPr>
              <w:t>新建井道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微软雅黑" w:hAnsi="微软雅黑" w:eastAsia="微软雅黑" w:cs="微软雅黑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lang w:val="en-US" w:eastAsia="zh-CN" w:bidi="ar"/>
              </w:rPr>
              <w:t>沿用原土建预留井道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C00000"/>
                <w:sz w:val="18"/>
                <w:szCs w:val="18"/>
                <w:lang w:val="en-US" w:eastAsia="zh-CN" w:bidi="ar"/>
              </w:rPr>
              <w:t>新建井道</w:t>
            </w:r>
          </w:p>
        </w:tc>
      </w:tr>
      <w:tr w14:paraId="0952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RF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中控维护室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无人机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1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A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7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1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5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C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7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20F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A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B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E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4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6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19F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3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C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1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B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BD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18F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2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4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9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42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17F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E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D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D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9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D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7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16F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E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6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2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B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E8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15F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9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F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EF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14F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8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0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E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13F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B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F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4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12F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1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C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9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2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11F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B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5F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10F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E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A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6E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9F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1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D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F2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8F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A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9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D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C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6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7F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C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2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8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NICU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3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FD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6F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CCU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4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护士站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ICU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7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5F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静配中心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A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E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F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C8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4F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中心手术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E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2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4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中心手术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A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8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3F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检验科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ICU1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1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病理科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E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2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B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2F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内镜中心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ICU2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中心供应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内镜中心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0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1F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口腔科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超声中心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4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护理门诊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门诊药房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3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0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B9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-1F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影像科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7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2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B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影像科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E ICU</w:t>
            </w:r>
          </w:p>
        </w:tc>
      </w:tr>
      <w:tr w14:paraId="30BD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-2F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病案库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后勤库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5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D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药库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B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厨房</w:t>
            </w:r>
          </w:p>
        </w:tc>
      </w:tr>
      <w:tr w14:paraId="0FC8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站点小计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DA6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站点总计</w:t>
            </w:r>
          </w:p>
        </w:tc>
        <w:tc>
          <w:tcPr>
            <w:tcW w:w="460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68（站点全新建）</w:t>
            </w:r>
          </w:p>
        </w:tc>
      </w:tr>
    </w:tbl>
    <w:p w14:paraId="0CC606A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/>
          <w:lang w:val="en-US" w:eastAsia="zh-CN"/>
        </w:rPr>
      </w:pPr>
    </w:p>
    <w:tbl>
      <w:tblPr>
        <w:tblStyle w:val="5"/>
        <w:tblW w:w="141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183"/>
        <w:gridCol w:w="2183"/>
        <w:gridCol w:w="2183"/>
        <w:gridCol w:w="2183"/>
        <w:gridCol w:w="2183"/>
        <w:gridCol w:w="2132"/>
      </w:tblGrid>
      <w:tr w14:paraId="41F2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二、机器人物流系统（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lang w:val="en-US" w:eastAsia="zh-CN" w:bidi="ar"/>
              </w:rPr>
              <w:t>二期新建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6FE9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一体式搬运机器人</w:t>
            </w:r>
          </w:p>
        </w:tc>
        <w:tc>
          <w:tcPr>
            <w:tcW w:w="6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接驳机器人</w:t>
            </w:r>
          </w:p>
        </w:tc>
      </w:tr>
      <w:tr w14:paraId="3E9A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楼层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停靠科室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停靠位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充电桩数量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停靠科室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停靠位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充电桩数量</w:t>
            </w:r>
          </w:p>
        </w:tc>
      </w:tr>
      <w:tr w14:paraId="5507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4F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手术室、库房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4（一二期各2个）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 w14:paraId="581B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3F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日间化疗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1（二期）</w:t>
            </w:r>
          </w:p>
        </w:tc>
      </w:tr>
      <w:tr w14:paraId="2145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1F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急诊药房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1（一期）</w:t>
            </w:r>
          </w:p>
        </w:tc>
      </w:tr>
      <w:tr w14:paraId="570D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机器人总数</w:t>
            </w:r>
          </w:p>
        </w:tc>
        <w:tc>
          <w:tcPr>
            <w:tcW w:w="130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6（搬运机器人4+接驳机器人2）</w:t>
            </w:r>
          </w:p>
        </w:tc>
      </w:tr>
      <w:tr w14:paraId="65B4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30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6 （全新建）</w:t>
            </w:r>
          </w:p>
        </w:tc>
      </w:tr>
    </w:tbl>
    <w:p w14:paraId="1618A73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/>
          <w:lang w:val="en-US" w:eastAsia="zh-CN"/>
        </w:rPr>
      </w:pPr>
    </w:p>
    <w:tbl>
      <w:tblPr>
        <w:tblStyle w:val="5"/>
        <w:tblW w:w="1464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77"/>
        <w:gridCol w:w="1077"/>
        <w:gridCol w:w="964"/>
        <w:gridCol w:w="964"/>
        <w:gridCol w:w="964"/>
        <w:gridCol w:w="964"/>
        <w:gridCol w:w="964"/>
        <w:gridCol w:w="964"/>
        <w:gridCol w:w="1077"/>
        <w:gridCol w:w="964"/>
        <w:gridCol w:w="964"/>
        <w:gridCol w:w="964"/>
        <w:gridCol w:w="964"/>
        <w:gridCol w:w="704"/>
      </w:tblGrid>
      <w:tr w14:paraId="49AF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640" w:type="dxa"/>
            <w:gridSpan w:val="15"/>
            <w:shd w:val="clear" w:color="auto" w:fill="auto"/>
            <w:vAlign w:val="center"/>
          </w:tcPr>
          <w:p w14:paraId="6484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三、气动物流系统站点一览表</w:t>
            </w:r>
          </w:p>
        </w:tc>
      </w:tr>
      <w:tr w14:paraId="23C2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4EF8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</w:t>
            </w:r>
          </w:p>
        </w:tc>
        <w:tc>
          <w:tcPr>
            <w:tcW w:w="5046" w:type="dxa"/>
            <w:gridSpan w:val="5"/>
            <w:shd w:val="clear" w:color="auto" w:fill="auto"/>
            <w:vAlign w:val="center"/>
          </w:tcPr>
          <w:p w14:paraId="139C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新建站点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825" w:type="dxa"/>
            <w:gridSpan w:val="8"/>
            <w:shd w:val="clear" w:color="auto" w:fill="auto"/>
            <w:vAlign w:val="center"/>
          </w:tcPr>
          <w:p w14:paraId="660E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接驳控制已建成站点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F8B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 w14:paraId="5FB6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14:paraId="0C58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通道设置方式</w:t>
            </w:r>
          </w:p>
        </w:tc>
        <w:tc>
          <w:tcPr>
            <w:tcW w:w="5046" w:type="dxa"/>
            <w:gridSpan w:val="5"/>
            <w:vMerge w:val="restart"/>
            <w:shd w:val="clear" w:color="auto" w:fill="auto"/>
            <w:vAlign w:val="center"/>
          </w:tcPr>
          <w:p w14:paraId="3211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新建通道（可优化调整当前通道方案）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14:paraId="2691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沿用已建成系统1</w:t>
            </w:r>
          </w:p>
        </w:tc>
        <w:tc>
          <w:tcPr>
            <w:tcW w:w="3005" w:type="dxa"/>
            <w:gridSpan w:val="3"/>
            <w:shd w:val="clear" w:color="auto" w:fill="auto"/>
            <w:vAlign w:val="center"/>
          </w:tcPr>
          <w:p w14:paraId="6225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沿用已建成系统2</w:t>
            </w:r>
          </w:p>
        </w:tc>
        <w:tc>
          <w:tcPr>
            <w:tcW w:w="2892" w:type="dxa"/>
            <w:gridSpan w:val="3"/>
            <w:shd w:val="clear" w:color="auto" w:fill="auto"/>
            <w:vAlign w:val="center"/>
          </w:tcPr>
          <w:p w14:paraId="477F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沿用已建成系统3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DD9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4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Merge w:val="continue"/>
            <w:shd w:val="clear" w:color="auto" w:fill="auto"/>
            <w:vAlign w:val="center"/>
          </w:tcPr>
          <w:p w14:paraId="2F4D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6" w:type="dxa"/>
            <w:gridSpan w:val="5"/>
            <w:vMerge w:val="continue"/>
            <w:shd w:val="clear" w:color="auto" w:fill="auto"/>
            <w:vAlign w:val="center"/>
          </w:tcPr>
          <w:p w14:paraId="729C3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97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通道1.1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E4B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通道1.2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D13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通道2.1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通道2.2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400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通道2.3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D1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通道3.1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3D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通道3.2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A5B9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通道3.3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9F4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7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3E7F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29BF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AB1E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3093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45B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C40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014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80C3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5A84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EEB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0E2F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9360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C2E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1FF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23FC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79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7210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B8A3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1C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C99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B1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E64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FB8A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552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36C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8A8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415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1FE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5830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FF98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412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F6E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D6D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087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C44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313F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D6CE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1A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C771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9DD7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196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F0A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5DA8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1D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ABD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CBBE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5E9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A03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DD6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814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A4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4DD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4AC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372D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D01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39C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39A4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7B5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4FD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9268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682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B328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03A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E7E5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96BC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4E6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7D84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B187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BA3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344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60B2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DAA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197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1558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2E4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B00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8AC3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677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84C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3B3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A90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3837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13B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5F4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0C8B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DE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747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B15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4297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FB4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7714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3FF9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31A2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211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8EBF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2AD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213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30A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585E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1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686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95D3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9A90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051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D28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C3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72B8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4064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BBE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FD79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5D5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F32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0F1B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20FF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2FC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EB8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F8B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75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D2F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6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E99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4E1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C83A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87D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93D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8F8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1510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ADB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EA8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984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4AF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712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23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5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171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BA7C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093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85C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4CB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978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5800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616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1C6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7781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3D2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8C4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02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781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4212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BD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27D9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B1C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B0E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748D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CE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6B1E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FE85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AFA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0D74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B98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7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3AB0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195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5F9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410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006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EA2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0BF6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2141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620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DB4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F51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5DCB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86A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B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4F0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E0DB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6335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E8A1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B24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655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5165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DD9F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14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EFB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C21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1B3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E4F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NICU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4D7C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8690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1BD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B02B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042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D49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6D90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CCU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662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介入中心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C11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AA3E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572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188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140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ICU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C714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361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FB3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5E3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4E4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C45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03FD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C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643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静配中心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179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E32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D63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59E5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5BD6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A485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055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E3E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527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输血科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712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7FC7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352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196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shd w:val="clear" w:color="auto" w:fill="auto"/>
            <w:vAlign w:val="center"/>
          </w:tcPr>
          <w:p w14:paraId="243E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中心手术2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中心手术1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C04E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3C56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2872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53B6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897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A7A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9B2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C95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B16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中心手术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B59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耳鼻喉科门诊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A17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5C8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A14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shd w:val="clear" w:color="auto" w:fill="auto"/>
            <w:vAlign w:val="center"/>
          </w:tcPr>
          <w:p w14:paraId="1A60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  <w:p w14:paraId="6944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（多收）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输血科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C35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  <w:p w14:paraId="2115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（多发）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ED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ICU1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AD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EFA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检验科一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4129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A84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检验科二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8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E4B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DCC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检验科三（预留）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D7D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骨科门诊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803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泌尿外科门诊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C31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AD0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648C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ICU2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C1B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18D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C03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B8F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E3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67B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95C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A7FD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E39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5C4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内科门诊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BE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产科门诊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F68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952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0B32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儿科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门诊药房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B4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D1D4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254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59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39E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3A1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692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CEC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6AD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ED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D1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门诊药房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2F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9F5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65" w:type="dxa"/>
            <w:shd w:val="clear" w:color="auto" w:fill="auto"/>
            <w:vAlign w:val="center"/>
          </w:tcPr>
          <w:p w14:paraId="261C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8F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296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FFDD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650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8CD5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9FF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 ICU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13F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F54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急诊留观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急诊输液、急诊药房、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发热门诊（预留）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588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C23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51CA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ECA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26E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494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5FA9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中心药房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FE9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DC7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9250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EF01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1FB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06B7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4B60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8C0C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E9DB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EFB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1C8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2C4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84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shd w:val="clear" w:color="auto" w:fill="auto"/>
            <w:vAlign w:val="center"/>
          </w:tcPr>
          <w:p w14:paraId="438B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-3F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1F3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C63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56A9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299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782E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39F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住院药房一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51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C614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333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住院药房二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3A81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BE2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5C75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C80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CBA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2632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站点小计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5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88C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934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3C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FE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66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031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B1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31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8A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6C5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5EB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 w14:paraId="32F8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shd w:val="clear" w:color="auto" w:fill="auto"/>
            <w:vAlign w:val="center"/>
          </w:tcPr>
          <w:p w14:paraId="496A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站点合计</w:t>
            </w:r>
          </w:p>
        </w:tc>
        <w:tc>
          <w:tcPr>
            <w:tcW w:w="13575" w:type="dxa"/>
            <w:gridSpan w:val="14"/>
            <w:shd w:val="clear" w:color="auto" w:fill="auto"/>
            <w:vAlign w:val="center"/>
          </w:tcPr>
          <w:p w14:paraId="0473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82（其中新建二期44站，物流机房规划布置于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二期住院楼屋面层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；接驳控制一期已有站点38站，一期原有物流机房位于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一期地下室三层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</w:tbl>
    <w:tbl>
      <w:tblPr>
        <w:tblStyle w:val="5"/>
        <w:tblpPr w:leftFromText="180" w:rightFromText="180" w:vertAnchor="text" w:horzAnchor="page" w:tblpX="1424" w:tblpY="407"/>
        <w:tblOverlap w:val="never"/>
        <w:tblW w:w="14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300"/>
        <w:gridCol w:w="2300"/>
        <w:gridCol w:w="2300"/>
        <w:gridCol w:w="2300"/>
        <w:gridCol w:w="2300"/>
        <w:gridCol w:w="1235"/>
      </w:tblGrid>
      <w:tr w14:paraId="0C96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四、试管标本气动物流系统站点一览表</w:t>
            </w:r>
          </w:p>
        </w:tc>
      </w:tr>
      <w:tr w14:paraId="4DDD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楼层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一期门诊医技楼（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lang w:val="en-US" w:eastAsia="zh-CN" w:bidi="ar"/>
              </w:rPr>
              <w:t>新建站点</w:t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二期门诊医技楼（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lang w:val="en-US" w:eastAsia="zh-CN" w:bidi="ar"/>
              </w:rPr>
              <w:t>新建站点</w:t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站点小计</w:t>
            </w:r>
          </w:p>
        </w:tc>
      </w:tr>
      <w:tr w14:paraId="72F1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井道设置方式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lang w:val="en-US" w:eastAsia="zh-CN" w:bidi="ar"/>
              </w:rPr>
              <w:t>新建井道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lang w:val="en-US" w:eastAsia="zh-CN" w:bidi="ar"/>
              </w:rPr>
              <w:t>新建井道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lang w:val="en-US" w:eastAsia="zh-CN" w:bidi="ar"/>
              </w:rPr>
              <w:t>新建井道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lang w:val="en-US" w:eastAsia="zh-CN" w:bidi="ar"/>
              </w:rPr>
              <w:t>新建井道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lang w:val="en-US" w:eastAsia="zh-CN" w:bidi="ar"/>
              </w:rPr>
              <w:t>新建井道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 w14:paraId="2B76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4F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国际医疗中心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77A5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3F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体检中心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检验科（接收）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检验科（发送）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检验科（接收）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检验科（发送）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15D4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-1F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急诊采血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70FB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站点合计</w:t>
            </w:r>
          </w:p>
        </w:tc>
        <w:tc>
          <w:tcPr>
            <w:tcW w:w="12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（全部新建，机房位于二期住院楼屋面层）</w:t>
            </w:r>
          </w:p>
        </w:tc>
      </w:tr>
    </w:tbl>
    <w:p w14:paraId="1AC79C6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/>
          <w:lang w:val="en-US" w:eastAsia="zh-CN"/>
        </w:rPr>
      </w:pPr>
    </w:p>
    <w:p w14:paraId="148DA854">
      <w:pPr>
        <w:pStyle w:val="2"/>
        <w:numPr>
          <w:ilvl w:val="0"/>
          <w:numId w:val="0"/>
        </w:num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4A03B5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报价说明</w:t>
      </w:r>
    </w:p>
    <w:p w14:paraId="0BCDC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本次调研不统一报价清单项目，参与询价的物流单位可根据自身产品进行报价，报价为全费用报价，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包括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①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物流传输系统设备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和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管路的深化设计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费；②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各项管井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管路的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施工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及改造费；③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的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供货安装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费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运输卸货及保险费、保管仓储费、多次搬运费、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调试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费、检测费、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试运行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费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、验收开通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费；④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技术服务及培训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费、备品备件（含专用工具）费、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售后维修服务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费；⑤联通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一期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已有物流系统的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联动控制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费；⑥二期土建总包配合费；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⑦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规费、利润及税金。其中：</w:t>
      </w:r>
    </w:p>
    <w:p w14:paraId="3CF86CDF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各类物流系统的站点数量及具体布置位置、管井布置位置及尺寸、管道传输交通组织方式和转换方式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24"/>
          <w:szCs w:val="24"/>
          <w:lang w:val="en-US" w:eastAsia="zh-CN"/>
        </w:rPr>
        <w:t>请务必按照附件图纸方案进行报价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。其中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气动物流系统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的通道布置、传输交通组织方式和转换方式若物流单位有更高效率方案，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24"/>
          <w:szCs w:val="24"/>
          <w:lang w:val="en-US" w:eastAsia="zh-CN"/>
        </w:rPr>
        <w:t>可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优化调整方案并报价，报价时请提供优化方案；箱式、机器人、试管气动物流系统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24"/>
          <w:szCs w:val="24"/>
          <w:lang w:val="en-US" w:eastAsia="zh-CN"/>
        </w:rPr>
        <w:t>不可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变更当前图纸方案。</w:t>
      </w:r>
    </w:p>
    <w:p w14:paraId="635A695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物流专项与各专业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施工界面原则：</w:t>
      </w:r>
    </w:p>
    <w:p w14:paraId="7816B1CE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一期物流系统中，物流单位负责以下内容：</w:t>
      </w:r>
    </w:p>
    <w:p w14:paraId="43DC14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①除LT9箱式物流管井以外其余所有管井管路的土建结构施工及外立面装修、拆除及恢复（包括但不限于室内外保护性拆除、回填、孔洞封堵、装饰面层恢复、水电暖通消防和智能化恢复）；</w:t>
      </w:r>
    </w:p>
    <w:p w14:paraId="51183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②所有物流系统的电源采购施工（含电线电缆从配电房到指定点位的采购敷设，以及点位开关插座面板采购安装）；</w:t>
      </w:r>
    </w:p>
    <w:p w14:paraId="1C59F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③箱式、机器人和试管气动物流系统的轨道及其附件、站点、控制系统的采购、运输、安装、调试与验收；</w:t>
      </w:r>
    </w:p>
    <w:p w14:paraId="13A5A3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④兼容联通控制一期已投入使用的气动物流系统，并能兼容联通控制二期所有物流系统；</w:t>
      </w:r>
    </w:p>
    <w:p w14:paraId="71E23D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⑤所有井道与轨道穿过区域的防火窗和防风窗的采购、安装；</w:t>
      </w:r>
    </w:p>
    <w:p w14:paraId="7CC268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⑥提供产品与消防相关的资料，并与消防系统和安防系统联动调试、验收；</w:t>
      </w:r>
    </w:p>
    <w:p w14:paraId="03C160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⑦室内外物流系统标识、完工后的收边收口、填补修复与清理等。</w:t>
      </w:r>
    </w:p>
    <w:p w14:paraId="0FE95FE0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二期物流系统中，土建总承包单位负责以下内容：</w:t>
      </w:r>
    </w:p>
    <w:p w14:paraId="19E4C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①按图纸施工物流管井及机房的结构及外立面装修；</w:t>
      </w:r>
    </w:p>
    <w:p w14:paraId="200CE7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②配合物流专业承包商安装、移交井道防火门及其钥匙；</w:t>
      </w:r>
    </w:p>
    <w:p w14:paraId="152504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③电线电缆从配电房到物流系统指定电源处位置的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采购敷设；</w:t>
      </w:r>
    </w:p>
    <w:p w14:paraId="0CC60E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④与物流系统的消防联动调试。</w:t>
      </w:r>
    </w:p>
    <w:p w14:paraId="737155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二期物流系统中，物流单位负责以下内容：</w:t>
      </w:r>
    </w:p>
    <w:p w14:paraId="33BF58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①所有物流系统的轨道及其附件、站点、控制系统的采购、运输、安装、调试与验收；</w:t>
      </w:r>
    </w:p>
    <w:p w14:paraId="2B3E3F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②从土建总承包单位提供的电源处接线（配电箱由物流单位采购安装）；</w:t>
      </w:r>
    </w:p>
    <w:p w14:paraId="080DB8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③所有井道与轨道穿过区域的防火窗和防风窗的采购、安装；</w:t>
      </w:r>
    </w:p>
    <w:p w14:paraId="0DC49F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④配合总承包商消防验收，提供产品与消防相关的资料及与消防系统联动调试、验收；</w:t>
      </w:r>
    </w:p>
    <w:p w14:paraId="225BE2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⑤室内外物流系统标识、完工后的收边收口、填补修复与清理等；</w:t>
      </w:r>
    </w:p>
    <w:p w14:paraId="58D32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6" w:leftChars="503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⑥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兼容联通控制一期所有物流系统。</w:t>
      </w:r>
    </w:p>
    <w:p w14:paraId="66156D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3、设备部分要求报价细化至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各物流子系统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的部件和配件，并提供相应具体规格参数（包括但不限于承重能力、容积、速度、噪音、输送效率等）以及所报产品的优缺点。其中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气动物流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系统和试管标本气动物流系统的传输轨道请按照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PVC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材质进行报价和总价计算，同时请提供备选的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不锈钢材质报价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（备注即可）；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箱式物流水平传输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请按照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辊筒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模式进行报价和总价计算，同时请提供备选的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皮带模式报价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（备注即可）。</w:t>
      </w:r>
    </w:p>
    <w:p w14:paraId="71EE8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4、请单独编制质保方案，并提供：（1）可承诺的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各子系统故障率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最高值；（2）各项物流系统质保期；（3）质保期内的维护保养方案、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技术服务及培训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方案；（4）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超出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质保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期限后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的保修年费及维修费用明细、技术服务及培训收费标准；（5）后期增加站点及其配套配件辅材费用明细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。</w:t>
      </w:r>
    </w:p>
    <w:p w14:paraId="3BF134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5、施工技术措施和安全文明施工费综合考虑，特别是一期改造施工过程中的环境控制要避免造成院内污染。物流系统要自带消杀和保洁功能，预防院内感染和污染。</w:t>
      </w:r>
    </w:p>
    <w:p w14:paraId="17A8DB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6、二期土建总包配合费请统一按照报价总额2%进行计算（一期项目无土建总包配合费）。</w:t>
      </w:r>
    </w:p>
    <w:p w14:paraId="4A166F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7、一期与二期的物流系统请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24"/>
          <w:szCs w:val="24"/>
          <w:lang w:val="en-US" w:eastAsia="zh-CN"/>
        </w:rPr>
        <w:t>分别报价，交界面详图纸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。</w:t>
      </w:r>
    </w:p>
    <w:p w14:paraId="7FD7DD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报价时以人民币报价。</w:t>
      </w:r>
    </w:p>
    <w:p w14:paraId="235A1A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9、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特别申明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：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市场调研仅作为医院参考使用，无任何针对性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如有不全之处，敬请理解。</w:t>
      </w:r>
    </w:p>
    <w:p w14:paraId="43B092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四、资格要求</w:t>
      </w:r>
    </w:p>
    <w:p w14:paraId="3338F7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1、需具备独立法人资格的物流系统设备制造商（营业执照包含物流传输系统相关营业范围）或代理商</w:t>
      </w:r>
    </w:p>
    <w:p w14:paraId="6A157F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2、五年内在经营活动中没有重大违法记录和不良信用记录；</w:t>
      </w:r>
    </w:p>
    <w:p w14:paraId="26F234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3、本项目不接受联合体报价。</w:t>
      </w:r>
    </w:p>
    <w:p w14:paraId="46D603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五、报名资料（以下材料需加盖公司公章）</w:t>
      </w:r>
    </w:p>
    <w:p w14:paraId="17678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1、营业执照、相关资质；</w:t>
      </w:r>
    </w:p>
    <w:p w14:paraId="2C9B01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2、法定代表人及授权人身份证复印件、法定代表人委托授权书；</w:t>
      </w:r>
    </w:p>
    <w:p w14:paraId="0395C9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业绩证明（自2017年1月1日以来【以合同签订时间为准】，已完成并已投入使用的物流传输系统（单个合同金额在1500万及以上）的类似业绩。提供合同复印件，同时提供验收证明材料，如不能提供验收证明材料须提供建设单位或使用单位证明文件）；</w:t>
      </w:r>
    </w:p>
    <w:p w14:paraId="318C1D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4、报名时需在资料上留下联系人姓名、联系电话、邮箱等联系方式。</w:t>
      </w:r>
    </w:p>
    <w:p w14:paraId="3CCE4C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、其他要求</w:t>
      </w:r>
    </w:p>
    <w:p w14:paraId="719E63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1、本次市场调研在正式报价前统一组织现场踏勘，具体时间待通知。</w:t>
      </w:r>
    </w:p>
    <w:p w14:paraId="2D2A8F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2、报价时请提供供货和安装周期。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30D23D9-9061-443F-B4E2-E1A29C9AA4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6AB092-2D67-4392-ABDF-8083DFB8F6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E223BF1-FEF4-4E98-BB10-1BF54D61EE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6714E"/>
    <w:multiLevelType w:val="singleLevel"/>
    <w:tmpl w:val="999671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C20E7D5"/>
    <w:multiLevelType w:val="singleLevel"/>
    <w:tmpl w:val="9C20E7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ACE9B7"/>
    <w:multiLevelType w:val="singleLevel"/>
    <w:tmpl w:val="6BACE9B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32192"/>
    <w:rsid w:val="072D352C"/>
    <w:rsid w:val="1ACD09B4"/>
    <w:rsid w:val="1D4B5D4F"/>
    <w:rsid w:val="2A6C6B7D"/>
    <w:rsid w:val="32343FBF"/>
    <w:rsid w:val="364A2FCC"/>
    <w:rsid w:val="37E54AA8"/>
    <w:rsid w:val="3F06339F"/>
    <w:rsid w:val="524E5F29"/>
    <w:rsid w:val="5D1A0A26"/>
    <w:rsid w:val="641403DC"/>
    <w:rsid w:val="74A32192"/>
    <w:rsid w:val="779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210"/>
    </w:pPr>
    <w:rPr>
      <w:rFonts w:ascii="Calibri" w:hAnsi="Calibri"/>
      <w:smallCaps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41"/>
    <w:basedOn w:val="6"/>
    <w:qFormat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9">
    <w:name w:val="font51"/>
    <w:basedOn w:val="6"/>
    <w:qFormat/>
    <w:uiPriority w:val="0"/>
    <w:rPr>
      <w:rFonts w:ascii="宋体" w:hAnsi="宋体" w:eastAsia="宋体" w:cs="宋体"/>
      <w:color w:val="000000"/>
      <w:sz w:val="72"/>
      <w:szCs w:val="72"/>
      <w:u w:val="none"/>
    </w:rPr>
  </w:style>
  <w:style w:type="character" w:customStyle="1" w:styleId="10">
    <w:name w:val="font61"/>
    <w:basedOn w:val="6"/>
    <w:qFormat/>
    <w:uiPriority w:val="0"/>
    <w:rPr>
      <w:rFonts w:ascii="宋体" w:hAnsi="宋体" w:eastAsia="宋体" w:cs="宋体"/>
      <w:color w:val="000000"/>
      <w:sz w:val="78"/>
      <w:szCs w:val="78"/>
      <w:u w:val="none"/>
    </w:rPr>
  </w:style>
  <w:style w:type="character" w:customStyle="1" w:styleId="11">
    <w:name w:val="font21"/>
    <w:basedOn w:val="6"/>
    <w:qFormat/>
    <w:uiPriority w:val="0"/>
    <w:rPr>
      <w:rFonts w:ascii="黑体" w:hAnsi="宋体" w:eastAsia="黑体" w:cs="黑体"/>
      <w:color w:val="000000"/>
      <w:sz w:val="60"/>
      <w:szCs w:val="6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3297</Words>
  <Characters>3507</Characters>
  <Lines>0</Lines>
  <Paragraphs>0</Paragraphs>
  <TotalTime>125</TotalTime>
  <ScaleCrop>false</ScaleCrop>
  <LinksUpToDate>false</LinksUpToDate>
  <CharactersWithSpaces>3516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2025-02-27T01:54:00Z</dcterms:created>
  <dc:creator>一条咸鱼</dc:creator>
  <cp:lastModifiedBy>我爱熊猫</cp:lastModifiedBy>
  <cp:lastPrinted>2025-03-06T09:29:00Z</cp:lastPrinted>
  <dcterms:modified xsi:type="dcterms:W3CDTF">2025-03-17T03:37:22Z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2D6531383530411995BFCBF34B089821_11</vt:lpwstr>
  </property>
  <property fmtid="{D5CDD505-2E9C-101B-9397-08002B2CF9AE}" pid="4" name="KSOTemplateDocerSaveRecord">
    <vt:lpwstr>eyJoZGlkIjoiYzRlYzk2ZGE4ZTc3YmQ2YzUwOTE0NThjY2Q0NjA3YjEiLCJ1c2VySWQiOiIyMzc0MzQyMjEifQ==</vt:lpwstr>
  </property>
</Properties>
</file>