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7"/>
        <w:gridCol w:w="838"/>
        <w:gridCol w:w="420"/>
        <w:gridCol w:w="7905"/>
      </w:tblGrid>
      <w:tr w14:paraId="6B110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  <w:jc w:val="center"/>
        </w:trPr>
        <w:tc>
          <w:tcPr>
            <w:tcW w:w="10060" w:type="dxa"/>
            <w:gridSpan w:val="4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auto"/>
            <w:vAlign w:val="center"/>
          </w:tcPr>
          <w:p w14:paraId="0811FE00">
            <w:pPr>
              <w:pStyle w:val="4"/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/>
                <w:bCs/>
                <w:sz w:val="84"/>
                <w:szCs w:val="8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中山大学附属第一医院广西医院楼顶发光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及墙体红十字标识制作及更换服务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评分标准</w:t>
            </w:r>
          </w:p>
        </w:tc>
      </w:tr>
      <w:tr w14:paraId="51FCD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77D7CD">
            <w:pPr>
              <w:pStyle w:val="4"/>
              <w:widowControl/>
              <w:spacing w:line="288" w:lineRule="atLeas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评审项目</w:t>
            </w:r>
          </w:p>
        </w:tc>
        <w:tc>
          <w:tcPr>
            <w:tcW w:w="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9BBC39">
            <w:pPr>
              <w:pStyle w:val="4"/>
              <w:widowControl/>
              <w:spacing w:line="288" w:lineRule="atLeas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评审</w:t>
            </w:r>
          </w:p>
          <w:p w14:paraId="6C9E836D">
            <w:pPr>
              <w:pStyle w:val="4"/>
              <w:widowControl/>
              <w:spacing w:line="288" w:lineRule="atLeas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分项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24D008">
            <w:pPr>
              <w:pStyle w:val="4"/>
              <w:widowControl/>
              <w:spacing w:line="288" w:lineRule="atLeas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79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4D77E1">
            <w:pPr>
              <w:pStyle w:val="4"/>
              <w:widowControl/>
              <w:spacing w:line="288" w:lineRule="atLeast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评审内容</w:t>
            </w:r>
          </w:p>
        </w:tc>
      </w:tr>
      <w:tr w14:paraId="52BE2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  <w:jc w:val="center"/>
        </w:trPr>
        <w:tc>
          <w:tcPr>
            <w:tcW w:w="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AB1FA1">
            <w:pPr>
              <w:pStyle w:val="4"/>
              <w:widowControl/>
              <w:spacing w:line="288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价格评审</w:t>
            </w:r>
          </w:p>
          <w:p w14:paraId="7BE95F91">
            <w:pPr>
              <w:pStyle w:val="4"/>
              <w:widowControl/>
              <w:spacing w:line="288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</w:tc>
        <w:tc>
          <w:tcPr>
            <w:tcW w:w="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7B825F">
            <w:pPr>
              <w:pStyle w:val="4"/>
              <w:widowControl/>
              <w:spacing w:line="288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响应</w:t>
            </w:r>
          </w:p>
          <w:p w14:paraId="43043616">
            <w:pPr>
              <w:pStyle w:val="4"/>
              <w:widowControl/>
              <w:spacing w:line="288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报价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9BBFF0">
            <w:pPr>
              <w:pStyle w:val="4"/>
              <w:widowControl/>
              <w:spacing w:line="288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</w:t>
            </w:r>
          </w:p>
        </w:tc>
        <w:tc>
          <w:tcPr>
            <w:tcW w:w="79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1F1AC6">
            <w:pPr>
              <w:pStyle w:val="4"/>
              <w:widowControl/>
              <w:spacing w:line="288" w:lineRule="atLeas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1、满足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文件要求且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价格最低的报价为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评审基准价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（D），其价格分为满分（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0分）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  <w:p w14:paraId="22452C38">
            <w:pPr>
              <w:pStyle w:val="4"/>
              <w:widowControl/>
              <w:spacing w:line="288" w:lineRule="atLeas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2、其他合格供应商的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报价（V）得分按如下公式计算：报价得分=（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评审基准价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D／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报价V）×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0×100%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</w:tc>
      </w:tr>
      <w:tr w14:paraId="75CB2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89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61160F">
            <w:pPr>
              <w:pStyle w:val="4"/>
              <w:widowControl/>
              <w:spacing w:line="288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商务评审</w:t>
            </w:r>
          </w:p>
          <w:p w14:paraId="1E983004">
            <w:pPr>
              <w:pStyle w:val="4"/>
              <w:widowControl/>
              <w:spacing w:line="288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</w:t>
            </w:r>
          </w:p>
        </w:tc>
        <w:tc>
          <w:tcPr>
            <w:tcW w:w="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C066B0">
            <w:pPr>
              <w:pStyle w:val="4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类似</w:t>
            </w:r>
          </w:p>
          <w:p w14:paraId="4F76D8E0">
            <w:pPr>
              <w:pStyle w:val="4"/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业绩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6AF7E6">
            <w:pPr>
              <w:pStyle w:val="4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9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621BA3">
            <w:pPr>
              <w:pStyle w:val="4"/>
              <w:widowControl/>
              <w:tabs>
                <w:tab w:val="left" w:pos="2253"/>
              </w:tabs>
              <w:spacing w:line="240" w:lineRule="atLeast"/>
              <w:rPr>
                <w:rFonts w:hint="default" w:ascii="宋体" w:hAnsi="宋体" w:cs="宋体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年内具有同类项目经验（需提供合同关键页扫描件，含服务内容、周期、甲方名称）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每提供一份得2分。本项满分10分。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未提供证明材料、</w:t>
            </w:r>
            <w:r>
              <w:rPr>
                <w:rFonts w:hint="eastAsia" w:ascii="宋体" w:hAnsi="宋体" w:cs="宋体"/>
                <w:sz w:val="21"/>
                <w:szCs w:val="21"/>
              </w:rPr>
              <w:t>证明材料模糊无法辨认的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不得分。</w:t>
            </w:r>
          </w:p>
        </w:tc>
      </w:tr>
      <w:tr w14:paraId="1D6BC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89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CED51B">
            <w:pPr>
              <w:pStyle w:val="4"/>
              <w:widowControl/>
              <w:spacing w:line="36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4A02DA">
            <w:pPr>
              <w:pStyle w:val="4"/>
              <w:widowControl/>
              <w:spacing w:line="24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供应商</w:t>
            </w:r>
          </w:p>
          <w:p w14:paraId="75D21365">
            <w:pPr>
              <w:pStyle w:val="4"/>
              <w:widowControl/>
              <w:spacing w:line="24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资质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3EF870">
            <w:pPr>
              <w:pStyle w:val="4"/>
              <w:widowControl/>
              <w:spacing w:line="24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79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CDA625">
            <w:pPr>
              <w:pStyle w:val="4"/>
              <w:widowControl/>
              <w:spacing w:line="36" w:lineRule="atLeast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响应人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具有质量管理体系认证证书、环境管理体系认证证书、职业健康安全管理体系认证证书，每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得1分，最高得3分。（提供有效期内报告复印件，否则不得分）</w:t>
            </w:r>
          </w:p>
        </w:tc>
      </w:tr>
      <w:tr w14:paraId="52386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89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FA299C">
            <w:pPr>
              <w:pStyle w:val="4"/>
              <w:widowControl/>
              <w:spacing w:line="36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1B2116">
            <w:pPr>
              <w:pStyle w:val="4"/>
              <w:widowControl/>
              <w:spacing w:line="24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不合格退货承诺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E7B16F">
            <w:pPr>
              <w:pStyle w:val="4"/>
              <w:widowControl/>
              <w:spacing w:line="24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8EC56A">
            <w:pPr>
              <w:pStyle w:val="4"/>
              <w:widowControl/>
              <w:spacing w:line="36" w:lineRule="atLeast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承诺因验收不合格无条件退换货，有书面承诺得3分，无承诺不得分。</w:t>
            </w:r>
          </w:p>
        </w:tc>
      </w:tr>
      <w:tr w14:paraId="6F49A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89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09D251">
            <w:pPr>
              <w:pStyle w:val="4"/>
              <w:widowControl/>
              <w:spacing w:line="288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技术评审</w:t>
            </w:r>
          </w:p>
          <w:p w14:paraId="68D64F48">
            <w:pPr>
              <w:pStyle w:val="4"/>
              <w:widowControl/>
              <w:spacing w:line="288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（44分）</w:t>
            </w:r>
          </w:p>
        </w:tc>
        <w:tc>
          <w:tcPr>
            <w:tcW w:w="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936403">
            <w:pPr>
              <w:pStyle w:val="4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实施</w:t>
            </w:r>
          </w:p>
          <w:p w14:paraId="00AC5F8B">
            <w:pPr>
              <w:pStyle w:val="4"/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方案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D9F790">
            <w:pPr>
              <w:pStyle w:val="4"/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172340">
            <w:pPr>
              <w:pStyle w:val="4"/>
              <w:widowControl/>
              <w:spacing w:line="36" w:lineRule="atLeas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根据供应商项目实施方案（内容可包含但不限于①项目实施要点、项目需求理解、②具体实施流程、③施工图纸设计（含布线/布管）、安装方案、进度安排、④风险防范措施、⑤人员安排）进行独立评分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未提供实施方案的不得分 。</w:t>
            </w:r>
          </w:p>
          <w:p w14:paraId="362EF89D">
            <w:pPr>
              <w:pStyle w:val="4"/>
              <w:widowControl/>
              <w:spacing w:line="36" w:lineRule="atLeas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一档（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分）：供应商提供的实施方案没有明显错误或无关内容，方案中包含有上述1-2项内容；</w:t>
            </w:r>
          </w:p>
          <w:p w14:paraId="4F0DA72D">
            <w:pPr>
              <w:pStyle w:val="4"/>
              <w:widowControl/>
              <w:spacing w:line="36" w:lineRule="atLeas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二档（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分）：在满足一档的基础上，供应商提供的实施方案中包含有上述3-4项内容且描述详细合理；</w:t>
            </w:r>
          </w:p>
          <w:p w14:paraId="40C561E7">
            <w:pPr>
              <w:pStyle w:val="4"/>
              <w:widowControl/>
              <w:spacing w:line="36" w:lineRule="atLeast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三档（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分）：在满足二档的基础上，供应商提供的实施方案中包含有上述5项内容外，还提供有其他内容且描述详细合理。</w:t>
            </w:r>
          </w:p>
        </w:tc>
      </w:tr>
      <w:tr w14:paraId="064E2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89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43D82F">
            <w:pPr>
              <w:pStyle w:val="4"/>
              <w:widowControl/>
              <w:spacing w:line="36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C968E6">
            <w:pPr>
              <w:pStyle w:val="4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质量保障措施方案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CA3A11">
            <w:pPr>
              <w:pStyle w:val="4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9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D7A696">
            <w:pPr>
              <w:widowControl/>
              <w:spacing w:line="36" w:lineRule="atLeas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根据供应商提供的质量保障措施方案（内容可包含但不限于①制造工艺、②货物检验、③质量控制措施）进行独立评分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未提供方案的不得分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  <w:p w14:paraId="061150CD">
            <w:pPr>
              <w:widowControl/>
              <w:spacing w:line="36" w:lineRule="atLeas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一档（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分）：供应商提供的质量保障措施方案没有明显错误或无关内容，方案中包含有上述1项内容；</w:t>
            </w:r>
          </w:p>
          <w:p w14:paraId="153D1508">
            <w:pPr>
              <w:widowControl/>
              <w:spacing w:line="36" w:lineRule="atLeas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二档（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分）：在满足一档的基础上，供应商提供的质量保障措施方案中包含有上述2项内容且描述详细合理。</w:t>
            </w:r>
          </w:p>
          <w:p w14:paraId="1491D9A1">
            <w:pPr>
              <w:widowControl/>
              <w:spacing w:line="36" w:lineRule="atLeas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三档（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分）：在满足二档的基础上，供应商提供的质量保障措施方案中包含有上述3项内容且描述详细合理。</w:t>
            </w:r>
          </w:p>
        </w:tc>
      </w:tr>
      <w:tr w14:paraId="27690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89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2DC788">
            <w:pPr>
              <w:pStyle w:val="4"/>
              <w:widowControl/>
              <w:spacing w:line="36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806076">
            <w:pPr>
              <w:pStyle w:val="4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售后</w:t>
            </w:r>
          </w:p>
          <w:p w14:paraId="1A4C97B5">
            <w:pPr>
              <w:pStyle w:val="4"/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服务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64B26E">
            <w:pPr>
              <w:pStyle w:val="4"/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9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EF1213">
            <w:pPr>
              <w:numPr>
                <w:ilvl w:val="0"/>
                <w:numId w:val="0"/>
              </w:numPr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根据供应商的售后服务方案进行打分，包括含项目实施计划、售后技术保障措施、售后服务内容等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未提供不得分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 w14:paraId="7511D5DF">
            <w:pPr>
              <w:widowControl/>
              <w:numPr>
                <w:ilvl w:val="-1"/>
                <w:numId w:val="0"/>
              </w:numPr>
              <w:spacing w:line="36" w:lineRule="atLeas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一档(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分):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服务保障措施及承诺缺乏合理性与可行性的得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分；</w:t>
            </w:r>
          </w:p>
          <w:p w14:paraId="5BEE3CCC">
            <w:pPr>
              <w:widowControl/>
              <w:numPr>
                <w:ilvl w:val="-1"/>
                <w:numId w:val="0"/>
              </w:numPr>
              <w:spacing w:line="36" w:lineRule="atLeas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二档(6分):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服务保障措施及承诺有一定的合理性、可行性的得6分；</w:t>
            </w:r>
          </w:p>
          <w:p w14:paraId="1BCC0012">
            <w:pPr>
              <w:widowControl/>
              <w:numPr>
                <w:ilvl w:val="0"/>
                <w:numId w:val="0"/>
              </w:numPr>
              <w:spacing w:line="36" w:lineRule="atLeas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三档(10分):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服务保障措施及承诺合理、可行的得10分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。</w:t>
            </w:r>
          </w:p>
        </w:tc>
      </w:tr>
      <w:tr w14:paraId="1E7BA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9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E480F2">
            <w:pPr>
              <w:pStyle w:val="4"/>
              <w:widowControl/>
              <w:spacing w:line="36" w:lineRule="atLeas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8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4E10BF">
            <w:pPr>
              <w:pStyle w:val="4"/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应急</w:t>
            </w:r>
          </w:p>
          <w:p w14:paraId="13336436">
            <w:pPr>
              <w:pStyle w:val="4"/>
              <w:widowControl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方案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982A1C">
            <w:pPr>
              <w:pStyle w:val="4"/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9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4A3EF0">
            <w:pPr>
              <w:pStyle w:val="4"/>
              <w:widowControl/>
              <w:spacing w:line="288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根据供应商提供的应急预案（内容可包含但不限于①突发事件的预见及分析、②突发事件的应对措施、③突发事件的预防措施）进行独立评分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未提供应急预案的不得分。</w:t>
            </w:r>
          </w:p>
          <w:p w14:paraId="17B4CD97">
            <w:pPr>
              <w:pStyle w:val="4"/>
              <w:widowControl/>
              <w:spacing w:line="288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一档（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分）：供应商提供的应急预案没有明显错误或无关内容，方案中包含有上述1项内容；</w:t>
            </w:r>
          </w:p>
          <w:p w14:paraId="3A75FDDE">
            <w:pPr>
              <w:pStyle w:val="4"/>
              <w:widowControl/>
              <w:spacing w:line="288" w:lineRule="atLeas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二档（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分）：在满足一档的基础上，供应商提供的应急预案中包含有上述2项内容且描述详细合理。</w:t>
            </w:r>
          </w:p>
          <w:p w14:paraId="3A02F4F1">
            <w:pPr>
              <w:pStyle w:val="4"/>
              <w:widowControl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三档（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分）：在满足二档的基础上，供应商提供的应急预案中包含有上述3项内容且描述详细合理，有其他优于商务条款要求的、切实可行的服务措施承诺的。</w:t>
            </w:r>
          </w:p>
        </w:tc>
      </w:tr>
      <w:tr w14:paraId="48E5D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E832C9">
            <w:pPr>
              <w:pStyle w:val="4"/>
              <w:widowControl/>
              <w:spacing w:line="288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总分</w:t>
            </w:r>
          </w:p>
        </w:tc>
        <w:tc>
          <w:tcPr>
            <w:tcW w:w="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F10FC0">
            <w:pPr>
              <w:pStyle w:val="4"/>
              <w:widowControl/>
              <w:spacing w:line="288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100</w:t>
            </w:r>
          </w:p>
        </w:tc>
        <w:tc>
          <w:tcPr>
            <w:tcW w:w="79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F62492">
            <w:pPr>
              <w:pStyle w:val="4"/>
              <w:widowControl/>
              <w:spacing w:line="288" w:lineRule="atLeast"/>
              <w:rPr>
                <w:rFonts w:ascii="宋体" w:hAnsi="宋体" w:eastAsia="宋体" w:cs="宋体"/>
              </w:rPr>
            </w:pPr>
          </w:p>
        </w:tc>
      </w:tr>
    </w:tbl>
    <w:p w14:paraId="3571C610">
      <w:pPr>
        <w:widowControl/>
        <w:jc w:val="left"/>
      </w:pPr>
    </w:p>
    <w:p w14:paraId="68C82B1A"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B055D"/>
    <w:rsid w:val="00387DF5"/>
    <w:rsid w:val="008F1E19"/>
    <w:rsid w:val="00AA678E"/>
    <w:rsid w:val="06175254"/>
    <w:rsid w:val="07A22ABE"/>
    <w:rsid w:val="07F45F16"/>
    <w:rsid w:val="0C234D7A"/>
    <w:rsid w:val="0FEB5787"/>
    <w:rsid w:val="12B534F5"/>
    <w:rsid w:val="187F5606"/>
    <w:rsid w:val="1B2129A5"/>
    <w:rsid w:val="1B6805D3"/>
    <w:rsid w:val="1E147697"/>
    <w:rsid w:val="1E364F6B"/>
    <w:rsid w:val="233F1C1A"/>
    <w:rsid w:val="26BB055D"/>
    <w:rsid w:val="28610884"/>
    <w:rsid w:val="2CB309DF"/>
    <w:rsid w:val="325D1CAA"/>
    <w:rsid w:val="3B7C1825"/>
    <w:rsid w:val="3EE372B8"/>
    <w:rsid w:val="3F8E5FAB"/>
    <w:rsid w:val="3FBB4170"/>
    <w:rsid w:val="40786313"/>
    <w:rsid w:val="48996995"/>
    <w:rsid w:val="49E113CD"/>
    <w:rsid w:val="4DC42FD9"/>
    <w:rsid w:val="50192A07"/>
    <w:rsid w:val="5B1E5FDD"/>
    <w:rsid w:val="61725058"/>
    <w:rsid w:val="619F14FA"/>
    <w:rsid w:val="62265778"/>
    <w:rsid w:val="66B416A8"/>
    <w:rsid w:val="72514A93"/>
    <w:rsid w:val="7C9E2682"/>
    <w:rsid w:val="7D7D498E"/>
    <w:rsid w:val="FFD6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1569</Words>
  <Characters>1611</Characters>
  <Lines>8</Lines>
  <Paragraphs>2</Paragraphs>
  <TotalTime>612</TotalTime>
  <ScaleCrop>false</ScaleCrop>
  <LinksUpToDate>false</LinksUpToDate>
  <CharactersWithSpaces>1615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2025-09-22T16:23:00Z</dcterms:created>
  <dc:creator>夏肖煜</dc:creator>
  <cp:lastModifiedBy>秋秋</cp:lastModifiedBy>
  <dcterms:modified xsi:type="dcterms:W3CDTF">2025-11-12T09:48:34Z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A43E50B25B674D8C958D763825943591_13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