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292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中山大学附属第一医院广西医院2025年</w:t>
      </w:r>
    </w:p>
    <w:p w14:paraId="4EE09C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黑体" w:hAnsi="黑体" w:eastAsia="黑体" w:cs="黑体"/>
          <w:b/>
          <w:bCs/>
          <w:sz w:val="44"/>
          <w:szCs w:val="44"/>
          <w:highlight w:val="none"/>
          <w:lang w:val="en-US" w:eastAsia="zh-CN"/>
        </w:rPr>
      </w:pPr>
      <w:bookmarkStart w:id="24" w:name="_GoBack"/>
      <w:r>
        <w:rPr>
          <w:rFonts w:hint="eastAsia" w:ascii="黑体" w:hAnsi="黑体" w:eastAsia="黑体" w:cs="黑体"/>
          <w:b/>
          <w:bCs/>
          <w:sz w:val="44"/>
          <w:szCs w:val="44"/>
          <w:highlight w:val="none"/>
          <w:lang w:val="en-US" w:eastAsia="zh-CN"/>
        </w:rPr>
        <w:t>工程造价咨询服务市场调研需求</w:t>
      </w:r>
    </w:p>
    <w:bookmarkEnd w:id="24"/>
    <w:p w14:paraId="024A3E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8"/>
          <w:szCs w:val="28"/>
          <w:highlight w:val="none"/>
          <w:lang w:val="en-US" w:eastAsia="zh-CN"/>
        </w:rPr>
      </w:pPr>
    </w:p>
    <w:p w14:paraId="7555F5F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项目概况</w:t>
      </w:r>
    </w:p>
    <w:p w14:paraId="0A7B43D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采购单位：中山大学附属第一医院广西医院</w:t>
      </w:r>
    </w:p>
    <w:p w14:paraId="67D6288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项目名称：2025年工程造价咨询服务</w:t>
      </w:r>
    </w:p>
    <w:p w14:paraId="02B8F8B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项目地点：广西壮族自治区南宁市青秀区佛子岭路3号</w:t>
      </w:r>
    </w:p>
    <w:p w14:paraId="4D2ACC1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服务内容：医院2000万元以下新建、改扩建、修缮工程的预算或招标控制价（含招标工作量清单）编制、审核；施工阶段造价跟踪审核（包括但不限于进度款审核、工程变更价款审核、工程索赔审核、现场签证审核、材料设备询价与核价、现场见证等）；竣工结算审核等其他与工程造价咨询相关的服务。</w:t>
      </w:r>
    </w:p>
    <w:p w14:paraId="03EFD4D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资质要求</w:t>
      </w:r>
    </w:p>
    <w:p w14:paraId="5A40BE8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具有国内独立法人资格，注册经营范围满足本项目内容的供应商。</w:t>
      </w:r>
    </w:p>
    <w:p w14:paraId="4ECFA0F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456C27F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本项目不接受联合体报名。</w:t>
      </w:r>
    </w:p>
    <w:p w14:paraId="6E9CB55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62" w:firstLineChars="200"/>
        <w:jc w:val="both"/>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项目具体要求</w:t>
      </w:r>
    </w:p>
    <w:p w14:paraId="3FF94A0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服务时间：一年。</w:t>
      </w:r>
    </w:p>
    <w:p w14:paraId="54F9338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市场调研报价要求：</w:t>
      </w:r>
    </w:p>
    <w:p w14:paraId="03C6CBB9">
      <w:pPr>
        <w:keepNext w:val="0"/>
        <w:keepLines w:val="0"/>
        <w:pageBreakBefore w:val="0"/>
        <w:widowControl w:val="0"/>
        <w:numPr>
          <w:ilvl w:val="1"/>
          <w:numId w:val="5"/>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本项目按照造价咨询服务收费标准（详见下表）采用下浮系数进行报价，并报出单个项目造价咨询服务费的最低收费</w:t>
      </w:r>
      <w:r>
        <w:rPr>
          <w:rFonts w:hint="eastAsia" w:ascii="仿宋_GB2312" w:hAnsi="仿宋_GB2312" w:eastAsia="仿宋_GB2312" w:cs="仿宋_GB2312"/>
          <w:b w:val="0"/>
          <w:bCs w:val="0"/>
          <w:color w:val="auto"/>
          <w:sz w:val="28"/>
          <w:szCs w:val="28"/>
          <w:highlight w:val="none"/>
          <w:lang w:val="en-US" w:eastAsia="zh-CN"/>
        </w:rPr>
        <w:t>。</w:t>
      </w:r>
    </w:p>
    <w:p w14:paraId="520C0597">
      <w:pPr>
        <w:keepNext w:val="0"/>
        <w:keepLines w:val="0"/>
        <w:pageBreakBefore w:val="0"/>
        <w:widowControl w:val="0"/>
        <w:numPr>
          <w:ilvl w:val="1"/>
          <w:numId w:val="5"/>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市场调研报价包括实施和完成服务所需的现场踏勘、技术服务、办公设施、办公物资、软件、资料、档案、人员工资、人员福利、人员保险、提交工作成果文件、交通差旅、通讯、加班补贴、附加工作酬金和额外工作酬金、管理费、利润、税金等费用和政策性文件规定包含的所有风险、责任等各项应有的费用。</w:t>
      </w:r>
    </w:p>
    <w:p w14:paraId="678AE515">
      <w:pPr>
        <w:keepNext w:val="0"/>
        <w:keepLines w:val="0"/>
        <w:pageBreakBefore w:val="0"/>
        <w:widowControl w:val="0"/>
        <w:numPr>
          <w:ilvl w:val="1"/>
          <w:numId w:val="5"/>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工程造价咨询服务收费标准：</w:t>
      </w:r>
    </w:p>
    <w:tbl>
      <w:tblPr>
        <w:tblStyle w:val="9"/>
        <w:tblW w:w="6230" w:type="pct"/>
        <w:tblInd w:w="-10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00"/>
        <w:gridCol w:w="1065"/>
        <w:gridCol w:w="1815"/>
        <w:gridCol w:w="975"/>
        <w:gridCol w:w="1365"/>
        <w:gridCol w:w="1245"/>
        <w:gridCol w:w="1215"/>
        <w:gridCol w:w="1065"/>
      </w:tblGrid>
      <w:tr w14:paraId="03ED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17" w:type="pct"/>
            <w:vMerge w:val="restart"/>
            <w:vAlign w:val="center"/>
          </w:tcPr>
          <w:p w14:paraId="7BF2C9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序号</w:t>
            </w:r>
          </w:p>
        </w:tc>
        <w:tc>
          <w:tcPr>
            <w:tcW w:w="1066" w:type="pct"/>
            <w:gridSpan w:val="2"/>
            <w:vMerge w:val="restart"/>
            <w:vAlign w:val="center"/>
          </w:tcPr>
          <w:p w14:paraId="73D46E6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咨询项目名称</w:t>
            </w:r>
          </w:p>
        </w:tc>
        <w:tc>
          <w:tcPr>
            <w:tcW w:w="854" w:type="pct"/>
            <w:vMerge w:val="restart"/>
            <w:vAlign w:val="center"/>
          </w:tcPr>
          <w:p w14:paraId="73D6C4E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计费基数</w:t>
            </w:r>
          </w:p>
        </w:tc>
        <w:tc>
          <w:tcPr>
            <w:tcW w:w="2761" w:type="pct"/>
            <w:gridSpan w:val="5"/>
            <w:vAlign w:val="center"/>
          </w:tcPr>
          <w:p w14:paraId="1D04466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按差额定率分档累进方法计算（费率单位：‰）</w:t>
            </w:r>
          </w:p>
        </w:tc>
      </w:tr>
      <w:tr w14:paraId="497A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17" w:type="pct"/>
            <w:vMerge w:val="continue"/>
            <w:vAlign w:val="center"/>
          </w:tcPr>
          <w:p w14:paraId="1522E7D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p>
        </w:tc>
        <w:tc>
          <w:tcPr>
            <w:tcW w:w="1066" w:type="pct"/>
            <w:gridSpan w:val="2"/>
            <w:vMerge w:val="continue"/>
            <w:vAlign w:val="center"/>
          </w:tcPr>
          <w:p w14:paraId="44FACB1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p>
        </w:tc>
        <w:tc>
          <w:tcPr>
            <w:tcW w:w="854" w:type="pct"/>
            <w:vMerge w:val="continue"/>
            <w:vAlign w:val="center"/>
          </w:tcPr>
          <w:p w14:paraId="4B7EDA2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p>
        </w:tc>
        <w:tc>
          <w:tcPr>
            <w:tcW w:w="459" w:type="pct"/>
            <w:vAlign w:val="center"/>
          </w:tcPr>
          <w:p w14:paraId="56B47DD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1000万元以下</w:t>
            </w:r>
          </w:p>
        </w:tc>
        <w:tc>
          <w:tcPr>
            <w:tcW w:w="642" w:type="pct"/>
            <w:vAlign w:val="center"/>
          </w:tcPr>
          <w:p w14:paraId="6A05F45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1000-5000万元（含）</w:t>
            </w:r>
          </w:p>
        </w:tc>
        <w:tc>
          <w:tcPr>
            <w:tcW w:w="586" w:type="pct"/>
            <w:vAlign w:val="center"/>
          </w:tcPr>
          <w:p w14:paraId="1A6E4B6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5000万元-2亿元（含）</w:t>
            </w:r>
          </w:p>
        </w:tc>
        <w:tc>
          <w:tcPr>
            <w:tcW w:w="572" w:type="pct"/>
            <w:vAlign w:val="center"/>
          </w:tcPr>
          <w:p w14:paraId="7B84D18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2亿元-5亿元（含）</w:t>
            </w:r>
          </w:p>
        </w:tc>
        <w:tc>
          <w:tcPr>
            <w:tcW w:w="501" w:type="pct"/>
            <w:vAlign w:val="center"/>
          </w:tcPr>
          <w:p w14:paraId="3ED0F92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5亿元以上</w:t>
            </w:r>
          </w:p>
        </w:tc>
      </w:tr>
      <w:tr w14:paraId="74DD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17" w:type="pct"/>
            <w:vAlign w:val="center"/>
          </w:tcPr>
          <w:p w14:paraId="1B5AC45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w:t>
            </w:r>
          </w:p>
        </w:tc>
        <w:tc>
          <w:tcPr>
            <w:tcW w:w="1066" w:type="pct"/>
            <w:gridSpan w:val="2"/>
            <w:vAlign w:val="center"/>
          </w:tcPr>
          <w:p w14:paraId="0466AF3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工程预算</w:t>
            </w:r>
          </w:p>
        </w:tc>
        <w:tc>
          <w:tcPr>
            <w:tcW w:w="854" w:type="pct"/>
            <w:vAlign w:val="center"/>
          </w:tcPr>
          <w:p w14:paraId="5D06064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审定预算价</w:t>
            </w:r>
          </w:p>
        </w:tc>
        <w:tc>
          <w:tcPr>
            <w:tcW w:w="459" w:type="pct"/>
            <w:vAlign w:val="center"/>
          </w:tcPr>
          <w:p w14:paraId="1E504B4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3.5</w:t>
            </w:r>
          </w:p>
        </w:tc>
        <w:tc>
          <w:tcPr>
            <w:tcW w:w="642" w:type="pct"/>
            <w:vAlign w:val="center"/>
          </w:tcPr>
          <w:p w14:paraId="7BE8C50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2.5</w:t>
            </w:r>
          </w:p>
        </w:tc>
        <w:tc>
          <w:tcPr>
            <w:tcW w:w="586" w:type="pct"/>
            <w:vAlign w:val="center"/>
          </w:tcPr>
          <w:p w14:paraId="248C6CD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w:t>
            </w:r>
          </w:p>
        </w:tc>
        <w:tc>
          <w:tcPr>
            <w:tcW w:w="572" w:type="pct"/>
            <w:vAlign w:val="center"/>
          </w:tcPr>
          <w:p w14:paraId="35378F8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1.6</w:t>
            </w:r>
          </w:p>
        </w:tc>
        <w:tc>
          <w:tcPr>
            <w:tcW w:w="501" w:type="pct"/>
            <w:vAlign w:val="center"/>
          </w:tcPr>
          <w:p w14:paraId="6824C08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1.3</w:t>
            </w:r>
          </w:p>
        </w:tc>
      </w:tr>
      <w:tr w14:paraId="0C56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17" w:type="pct"/>
            <w:vAlign w:val="center"/>
          </w:tcPr>
          <w:p w14:paraId="166655D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w:t>
            </w:r>
          </w:p>
        </w:tc>
        <w:tc>
          <w:tcPr>
            <w:tcW w:w="1066" w:type="pct"/>
            <w:gridSpan w:val="2"/>
            <w:vAlign w:val="center"/>
          </w:tcPr>
          <w:p w14:paraId="382ECC5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工程量清单及招标控制价编制</w:t>
            </w:r>
          </w:p>
        </w:tc>
        <w:tc>
          <w:tcPr>
            <w:tcW w:w="854" w:type="pct"/>
            <w:vAlign w:val="center"/>
          </w:tcPr>
          <w:p w14:paraId="72A5A3F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审定招标</w:t>
            </w:r>
          </w:p>
          <w:p w14:paraId="62E5542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控制价</w:t>
            </w:r>
          </w:p>
        </w:tc>
        <w:tc>
          <w:tcPr>
            <w:tcW w:w="459" w:type="pct"/>
            <w:vAlign w:val="center"/>
          </w:tcPr>
          <w:p w14:paraId="36E4FDD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3.9</w:t>
            </w:r>
          </w:p>
        </w:tc>
        <w:tc>
          <w:tcPr>
            <w:tcW w:w="642" w:type="pct"/>
            <w:vAlign w:val="center"/>
          </w:tcPr>
          <w:p w14:paraId="0D28FE9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3</w:t>
            </w:r>
          </w:p>
        </w:tc>
        <w:tc>
          <w:tcPr>
            <w:tcW w:w="586" w:type="pct"/>
            <w:vAlign w:val="center"/>
          </w:tcPr>
          <w:p w14:paraId="28B9CD4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2.6</w:t>
            </w:r>
          </w:p>
        </w:tc>
        <w:tc>
          <w:tcPr>
            <w:tcW w:w="572" w:type="pct"/>
            <w:vAlign w:val="center"/>
          </w:tcPr>
          <w:p w14:paraId="7281B09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2.2</w:t>
            </w:r>
          </w:p>
        </w:tc>
        <w:tc>
          <w:tcPr>
            <w:tcW w:w="501" w:type="pct"/>
            <w:vAlign w:val="center"/>
          </w:tcPr>
          <w:p w14:paraId="0D9F49A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1.8</w:t>
            </w:r>
          </w:p>
        </w:tc>
      </w:tr>
      <w:tr w14:paraId="5AAB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17" w:type="pct"/>
            <w:vAlign w:val="center"/>
          </w:tcPr>
          <w:p w14:paraId="24F1963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3</w:t>
            </w:r>
          </w:p>
        </w:tc>
        <w:tc>
          <w:tcPr>
            <w:tcW w:w="1066" w:type="pct"/>
            <w:gridSpan w:val="2"/>
            <w:vAlign w:val="center"/>
          </w:tcPr>
          <w:p w14:paraId="749B230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施工过程造价咨询</w:t>
            </w:r>
          </w:p>
        </w:tc>
        <w:tc>
          <w:tcPr>
            <w:tcW w:w="854" w:type="pct"/>
            <w:vAlign w:val="center"/>
          </w:tcPr>
          <w:p w14:paraId="7B09CF8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审定进度款</w:t>
            </w:r>
          </w:p>
          <w:p w14:paraId="35DF867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（含预付款）</w:t>
            </w:r>
          </w:p>
        </w:tc>
        <w:tc>
          <w:tcPr>
            <w:tcW w:w="459" w:type="pct"/>
            <w:vAlign w:val="center"/>
          </w:tcPr>
          <w:p w14:paraId="3F3A948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5.2</w:t>
            </w:r>
          </w:p>
        </w:tc>
        <w:tc>
          <w:tcPr>
            <w:tcW w:w="642" w:type="pct"/>
            <w:vAlign w:val="center"/>
          </w:tcPr>
          <w:p w14:paraId="7C56465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4</w:t>
            </w:r>
          </w:p>
        </w:tc>
        <w:tc>
          <w:tcPr>
            <w:tcW w:w="586" w:type="pct"/>
            <w:vAlign w:val="center"/>
          </w:tcPr>
          <w:p w14:paraId="2A5C7CF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3.4</w:t>
            </w:r>
          </w:p>
        </w:tc>
        <w:tc>
          <w:tcPr>
            <w:tcW w:w="572" w:type="pct"/>
            <w:vAlign w:val="center"/>
          </w:tcPr>
          <w:p w14:paraId="31B112C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2.8</w:t>
            </w:r>
          </w:p>
        </w:tc>
        <w:tc>
          <w:tcPr>
            <w:tcW w:w="501" w:type="pct"/>
            <w:vAlign w:val="center"/>
          </w:tcPr>
          <w:p w14:paraId="121AAB7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2.4</w:t>
            </w:r>
          </w:p>
        </w:tc>
      </w:tr>
      <w:tr w14:paraId="4D9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317" w:type="pct"/>
            <w:vMerge w:val="restart"/>
            <w:vAlign w:val="center"/>
          </w:tcPr>
          <w:p w14:paraId="610AF0C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4</w:t>
            </w:r>
          </w:p>
        </w:tc>
        <w:tc>
          <w:tcPr>
            <w:tcW w:w="564" w:type="pct"/>
            <w:vMerge w:val="restart"/>
            <w:vAlign w:val="center"/>
          </w:tcPr>
          <w:p w14:paraId="79A3925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竣工结算审核（按基本费+效益费）计费</w:t>
            </w:r>
          </w:p>
        </w:tc>
        <w:tc>
          <w:tcPr>
            <w:tcW w:w="501" w:type="pct"/>
            <w:vAlign w:val="center"/>
          </w:tcPr>
          <w:p w14:paraId="459E5D8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基本费</w:t>
            </w:r>
          </w:p>
        </w:tc>
        <w:tc>
          <w:tcPr>
            <w:tcW w:w="854" w:type="pct"/>
            <w:vAlign w:val="center"/>
          </w:tcPr>
          <w:p w14:paraId="75C9694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送审结算价</w:t>
            </w:r>
          </w:p>
        </w:tc>
        <w:tc>
          <w:tcPr>
            <w:tcW w:w="459" w:type="pct"/>
            <w:vAlign w:val="center"/>
          </w:tcPr>
          <w:p w14:paraId="34FB5A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3</w:t>
            </w:r>
          </w:p>
        </w:tc>
        <w:tc>
          <w:tcPr>
            <w:tcW w:w="642" w:type="pct"/>
            <w:vAlign w:val="center"/>
          </w:tcPr>
          <w:p w14:paraId="4380905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w:t>
            </w:r>
          </w:p>
        </w:tc>
        <w:tc>
          <w:tcPr>
            <w:tcW w:w="586" w:type="pct"/>
            <w:vAlign w:val="center"/>
          </w:tcPr>
          <w:p w14:paraId="01DA5AC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1.5</w:t>
            </w:r>
          </w:p>
        </w:tc>
        <w:tc>
          <w:tcPr>
            <w:tcW w:w="572" w:type="pct"/>
            <w:vAlign w:val="center"/>
          </w:tcPr>
          <w:p w14:paraId="2326E45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1.2</w:t>
            </w:r>
          </w:p>
        </w:tc>
        <w:tc>
          <w:tcPr>
            <w:tcW w:w="501" w:type="pct"/>
            <w:vAlign w:val="center"/>
          </w:tcPr>
          <w:p w14:paraId="0E46EF9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w:t>
            </w:r>
          </w:p>
        </w:tc>
      </w:tr>
      <w:tr w14:paraId="5F80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17" w:type="pct"/>
            <w:vMerge w:val="continue"/>
            <w:vAlign w:val="center"/>
          </w:tcPr>
          <w:p w14:paraId="4E81741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564" w:type="pct"/>
            <w:vMerge w:val="continue"/>
            <w:vAlign w:val="center"/>
          </w:tcPr>
          <w:p w14:paraId="1C8E315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p>
        </w:tc>
        <w:tc>
          <w:tcPr>
            <w:tcW w:w="501" w:type="pct"/>
            <w:vAlign w:val="center"/>
          </w:tcPr>
          <w:p w14:paraId="67BE836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效益费</w:t>
            </w:r>
          </w:p>
        </w:tc>
        <w:tc>
          <w:tcPr>
            <w:tcW w:w="854" w:type="pct"/>
            <w:vAlign w:val="center"/>
          </w:tcPr>
          <w:p w14:paraId="1F89178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︱核减额︱+</w:t>
            </w:r>
          </w:p>
          <w:p w14:paraId="73DC292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核增额</w:t>
            </w:r>
          </w:p>
        </w:tc>
        <w:tc>
          <w:tcPr>
            <w:tcW w:w="2761" w:type="pct"/>
            <w:gridSpan w:val="5"/>
            <w:vAlign w:val="center"/>
          </w:tcPr>
          <w:p w14:paraId="6E4749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5%</w:t>
            </w:r>
          </w:p>
        </w:tc>
      </w:tr>
    </w:tbl>
    <w:p w14:paraId="1418E82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highlight w:val="none"/>
          <w:lang w:val="en-US" w:eastAsia="zh-CN"/>
        </w:rPr>
        <w:t>注：</w:t>
      </w:r>
      <w:r>
        <w:rPr>
          <w:rFonts w:hint="eastAsia" w:ascii="仿宋_GB2312" w:hAnsi="仿宋_GB2312" w:eastAsia="仿宋_GB2312" w:cs="仿宋_GB2312"/>
          <w:b w:val="0"/>
          <w:bCs w:val="0"/>
          <w:sz w:val="28"/>
          <w:szCs w:val="28"/>
          <w:highlight w:val="none"/>
          <w:lang w:val="en-US" w:eastAsia="zh-CN"/>
        </w:rPr>
        <w:t>①</w:t>
      </w:r>
      <w:r>
        <w:rPr>
          <w:rFonts w:hint="default" w:ascii="仿宋_GB2312" w:hAnsi="仿宋_GB2312" w:eastAsia="仿宋_GB2312" w:cs="仿宋_GB2312"/>
          <w:b w:val="0"/>
          <w:bCs w:val="0"/>
          <w:sz w:val="28"/>
          <w:szCs w:val="28"/>
          <w:highlight w:val="none"/>
          <w:lang w:val="en-US" w:eastAsia="zh-CN"/>
        </w:rPr>
        <w:t>工程造价咨询服务收费根据不同咨询项目的性质、内容采取差额定率分档累进方法计算。</w:t>
      </w:r>
    </w:p>
    <w:p w14:paraId="18177BA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②</w:t>
      </w:r>
      <w:r>
        <w:rPr>
          <w:rFonts w:hint="default" w:ascii="仿宋_GB2312" w:hAnsi="仿宋_GB2312" w:eastAsia="仿宋_GB2312" w:cs="仿宋_GB2312"/>
          <w:b w:val="0"/>
          <w:bCs w:val="0"/>
          <w:sz w:val="28"/>
          <w:szCs w:val="28"/>
          <w:highlight w:val="none"/>
          <w:lang w:val="en-US" w:eastAsia="zh-CN"/>
        </w:rPr>
        <w:t>工程主材无论是否计入工程造价，均应计入取费基数。</w:t>
      </w:r>
    </w:p>
    <w:p w14:paraId="4CBA13D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③</w:t>
      </w:r>
      <w:r>
        <w:rPr>
          <w:rFonts w:hint="default" w:ascii="仿宋_GB2312" w:hAnsi="仿宋_GB2312" w:eastAsia="仿宋_GB2312" w:cs="仿宋_GB2312"/>
          <w:b w:val="0"/>
          <w:bCs w:val="0"/>
          <w:sz w:val="28"/>
          <w:szCs w:val="28"/>
          <w:highlight w:val="none"/>
          <w:lang w:val="en-US" w:eastAsia="zh-CN"/>
        </w:rPr>
        <w:t>单独编制工程量清单按上述收费标准第2项收费的60%计算。</w:t>
      </w:r>
    </w:p>
    <w:p w14:paraId="2AD7993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④</w:t>
      </w:r>
      <w:r>
        <w:rPr>
          <w:rFonts w:hint="default" w:ascii="仿宋_GB2312" w:hAnsi="仿宋_GB2312" w:eastAsia="仿宋_GB2312" w:cs="仿宋_GB2312"/>
          <w:b w:val="0"/>
          <w:bCs w:val="0"/>
          <w:sz w:val="28"/>
          <w:szCs w:val="28"/>
          <w:highlight w:val="none"/>
          <w:lang w:val="en-US" w:eastAsia="zh-CN"/>
        </w:rPr>
        <w:t>施工过程造价咨询主要工作内容为：进度款审核、工程变更价款审核、工程索赔审核、现场签证审核、材料设备询价与核价</w:t>
      </w:r>
      <w:r>
        <w:rPr>
          <w:rFonts w:hint="eastAsia" w:ascii="仿宋_GB2312" w:hAnsi="仿宋_GB2312" w:eastAsia="仿宋_GB2312" w:cs="仿宋_GB2312"/>
          <w:b w:val="0"/>
          <w:bCs w:val="0"/>
          <w:sz w:val="28"/>
          <w:szCs w:val="28"/>
          <w:highlight w:val="none"/>
          <w:lang w:val="en-US" w:eastAsia="zh-CN"/>
        </w:rPr>
        <w:t>、现场见证</w:t>
      </w:r>
      <w:r>
        <w:rPr>
          <w:rFonts w:hint="default" w:ascii="仿宋_GB2312" w:hAnsi="仿宋_GB2312" w:eastAsia="仿宋_GB2312" w:cs="仿宋_GB2312"/>
          <w:b w:val="0"/>
          <w:bCs w:val="0"/>
          <w:sz w:val="28"/>
          <w:szCs w:val="28"/>
          <w:highlight w:val="none"/>
          <w:lang w:val="en-US" w:eastAsia="zh-CN"/>
        </w:rPr>
        <w:t>等。</w:t>
      </w:r>
    </w:p>
    <w:p w14:paraId="4ECA370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⑤工程</w:t>
      </w:r>
      <w:r>
        <w:rPr>
          <w:rFonts w:hint="default" w:ascii="仿宋_GB2312" w:hAnsi="仿宋_GB2312" w:eastAsia="仿宋_GB2312" w:cs="仿宋_GB2312"/>
          <w:b w:val="0"/>
          <w:bCs w:val="0"/>
          <w:sz w:val="28"/>
          <w:szCs w:val="28"/>
          <w:highlight w:val="none"/>
          <w:lang w:val="en-US" w:eastAsia="zh-CN"/>
        </w:rPr>
        <w:t>预算、工程量清单及招标控制价的审核费用应在上述编制费用的基础上乘以0.8的系数。</w:t>
      </w:r>
    </w:p>
    <w:p w14:paraId="5F53ADAA">
      <w:pPr>
        <w:numPr>
          <w:ilvl w:val="0"/>
          <w:numId w:val="0"/>
        </w:numPr>
        <w:tabs>
          <w:tab w:val="left" w:pos="0"/>
        </w:tabs>
        <w:spacing w:line="240" w:lineRule="auto"/>
        <w:ind w:firstLine="560"/>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备注：本项目造价咨询服务收费标准参考《广西建设工程造价咨询服务行业收费参考标准》（桂价协字〔2019〕15号）后进行修订。</w:t>
      </w:r>
    </w:p>
    <w:p w14:paraId="2A18DBE7">
      <w:pPr>
        <w:numPr>
          <w:ilvl w:val="0"/>
          <w:numId w:val="4"/>
        </w:numPr>
        <w:spacing w:line="24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具体服务需求详见《项目需求符合情况调研表》（附件3）。</w:t>
      </w:r>
    </w:p>
    <w:p w14:paraId="4E68BF8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市场调研文件要求内容：</w:t>
      </w:r>
    </w:p>
    <w:p w14:paraId="34DA5CAE">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资料封面。封面标题《XX项目市场调研资料》、参加市场调研公司名称、联系人、联系方式。</w:t>
      </w:r>
    </w:p>
    <w:p w14:paraId="5EC6D3EE">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市场调研资料目录（需附页码）。</w:t>
      </w:r>
    </w:p>
    <w:p w14:paraId="533451C6">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报价表（详见附件1）。</w:t>
      </w:r>
    </w:p>
    <w:p w14:paraId="224799FD">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成果文件提交时限（详见附件2）。</w:t>
      </w:r>
    </w:p>
    <w:p w14:paraId="0645ADC4">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项目需求符合情况调研表（详见附件3）。</w:t>
      </w:r>
    </w:p>
    <w:p w14:paraId="78AF45C4">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实施方案（配备人员职称、证书、工作年限及服务方案）。</w:t>
      </w:r>
    </w:p>
    <w:p w14:paraId="115DF189">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提供近三年来与本项目实施相关的业绩证明材料，如：编制或审核过的招标控制价封面或审定单（定案表）。</w:t>
      </w:r>
    </w:p>
    <w:p w14:paraId="5409FE1F">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公司简介。</w:t>
      </w:r>
    </w:p>
    <w:p w14:paraId="54117787">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有效的营业执照复印件、经营许可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p>
    <w:p w14:paraId="5D1A938E">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法定代表人身份证复印件（加盖公章）。</w:t>
      </w:r>
    </w:p>
    <w:p w14:paraId="01C5981A">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授权委托书原件（非法人参与时必需提供）。</w:t>
      </w:r>
    </w:p>
    <w:p w14:paraId="65566F98">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被授权人身份证复印件（加盖公章）。</w:t>
      </w:r>
    </w:p>
    <w:p w14:paraId="62B2D0C9">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其他认为有必要提供的材料。</w:t>
      </w:r>
    </w:p>
    <w:p w14:paraId="3BE64E0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其他要求：</w:t>
      </w:r>
    </w:p>
    <w:p w14:paraId="08142BD0">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0" w:leftChars="0"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调研时建议带上项目负责人，以便现场考核。</w:t>
      </w:r>
    </w:p>
    <w:p w14:paraId="47EB0C25">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default" w:ascii="仿宋_GB2312" w:hAnsi="仿宋_GB2312" w:eastAsia="仿宋_GB2312" w:cs="仿宋_GB2312"/>
          <w:b w:val="0"/>
          <w:bCs w:val="0"/>
          <w:sz w:val="28"/>
          <w:szCs w:val="28"/>
          <w:highlight w:val="none"/>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4E584269">
      <w:pPr>
        <w:pStyle w:val="11"/>
        <w:ind w:firstLine="0" w:firstLineChars="0"/>
        <w:rPr>
          <w:rFonts w:hint="eastAsia"/>
          <w:sz w:val="21"/>
          <w:szCs w:val="21"/>
          <w:highlight w:val="none"/>
          <w:lang w:val="en-US" w:eastAsia="zh-CN"/>
        </w:rPr>
      </w:pPr>
      <w:r>
        <w:rPr>
          <w:rFonts w:hint="eastAsia"/>
          <w:sz w:val="21"/>
          <w:szCs w:val="21"/>
          <w:highlight w:val="none"/>
          <w:lang w:val="en-US" w:eastAsia="zh-CN"/>
        </w:rPr>
        <w:t>附件1</w:t>
      </w:r>
    </w:p>
    <w:p w14:paraId="62B98112">
      <w:pPr>
        <w:pStyle w:val="11"/>
        <w:ind w:firstLine="0" w:firstLineChars="0"/>
        <w:rPr>
          <w:rFonts w:hint="eastAsia"/>
          <w:highlight w:val="none"/>
          <w:lang w:val="en-US" w:eastAsia="zh-CN"/>
        </w:rPr>
      </w:pPr>
    </w:p>
    <w:p w14:paraId="4F42D827">
      <w:pPr>
        <w:pStyle w:val="11"/>
        <w:spacing w:line="240" w:lineRule="auto"/>
        <w:ind w:firstLine="0" w:firstLineChars="0"/>
        <w:jc w:val="center"/>
        <w:rPr>
          <w:rFonts w:hint="default"/>
          <w:b/>
          <w:bCs/>
          <w:sz w:val="36"/>
          <w:szCs w:val="36"/>
          <w:highlight w:val="none"/>
          <w:lang w:val="en-US" w:eastAsia="zh-CN"/>
        </w:rPr>
      </w:pPr>
      <w:r>
        <w:rPr>
          <w:rFonts w:hint="eastAsia"/>
          <w:b/>
          <w:bCs/>
          <w:sz w:val="36"/>
          <w:szCs w:val="36"/>
          <w:highlight w:val="none"/>
          <w:lang w:val="en-US" w:eastAsia="zh-CN"/>
        </w:rPr>
        <w:t>报价表</w:t>
      </w:r>
    </w:p>
    <w:tbl>
      <w:tblPr>
        <w:tblStyle w:val="9"/>
        <w:tblpPr w:leftFromText="180" w:rightFromText="180" w:vertAnchor="text" w:horzAnchor="page" w:tblpX="792" w:tblpY="412"/>
        <w:tblOverlap w:val="never"/>
        <w:tblW w:w="10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6"/>
        <w:gridCol w:w="1513"/>
        <w:gridCol w:w="2318"/>
        <w:gridCol w:w="1855"/>
        <w:gridCol w:w="2018"/>
      </w:tblGrid>
      <w:tr w14:paraId="119F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50" w:type="dxa"/>
            <w:vAlign w:val="center"/>
          </w:tcPr>
          <w:p w14:paraId="65C9EE34">
            <w:pPr>
              <w:spacing w:line="312" w:lineRule="auto"/>
              <w:jc w:val="center"/>
              <w:rPr>
                <w:rFonts w:ascii="Arial" w:hAnsi="Arial" w:cs="Arial"/>
                <w:kern w:val="0"/>
                <w:szCs w:val="21"/>
                <w:highlight w:val="none"/>
              </w:rPr>
            </w:pPr>
            <w:r>
              <w:rPr>
                <w:rFonts w:ascii="Arial" w:hAnsi="Arial" w:cs="Arial"/>
                <w:kern w:val="0"/>
                <w:szCs w:val="21"/>
                <w:highlight w:val="none"/>
              </w:rPr>
              <w:t>序号</w:t>
            </w:r>
          </w:p>
        </w:tc>
        <w:tc>
          <w:tcPr>
            <w:tcW w:w="3709" w:type="dxa"/>
            <w:gridSpan w:val="2"/>
            <w:vAlign w:val="center"/>
          </w:tcPr>
          <w:p w14:paraId="4CD1B425">
            <w:pPr>
              <w:spacing w:line="312" w:lineRule="auto"/>
              <w:jc w:val="center"/>
              <w:rPr>
                <w:rFonts w:ascii="Arial" w:hAnsi="Arial" w:cs="Arial"/>
                <w:kern w:val="0"/>
                <w:szCs w:val="21"/>
                <w:highlight w:val="none"/>
              </w:rPr>
            </w:pPr>
            <w:r>
              <w:rPr>
                <w:rFonts w:hint="eastAsia" w:ascii="Arial" w:hAnsi="Arial" w:cs="Arial"/>
                <w:kern w:val="0"/>
                <w:szCs w:val="21"/>
                <w:highlight w:val="none"/>
                <w:lang w:val="en-US" w:eastAsia="zh-CN"/>
              </w:rPr>
              <w:t>服务</w:t>
            </w:r>
            <w:r>
              <w:rPr>
                <w:rFonts w:ascii="Arial" w:hAnsi="Arial" w:cs="Arial"/>
                <w:kern w:val="0"/>
                <w:szCs w:val="21"/>
                <w:highlight w:val="none"/>
              </w:rPr>
              <w:t>内容</w:t>
            </w:r>
          </w:p>
        </w:tc>
        <w:tc>
          <w:tcPr>
            <w:tcW w:w="2318" w:type="dxa"/>
            <w:vAlign w:val="center"/>
          </w:tcPr>
          <w:p w14:paraId="748A0119">
            <w:pPr>
              <w:spacing w:line="312" w:lineRule="auto"/>
              <w:jc w:val="center"/>
              <w:rPr>
                <w:rFonts w:hint="default" w:ascii="Arial" w:hAnsi="Arial" w:cs="Arial" w:eastAsiaTheme="minorEastAsia"/>
                <w:kern w:val="0"/>
                <w:szCs w:val="21"/>
                <w:highlight w:val="none"/>
                <w:lang w:val="en-US" w:eastAsia="zh-CN"/>
              </w:rPr>
            </w:pPr>
            <w:r>
              <w:rPr>
                <w:rFonts w:hint="eastAsia" w:ascii="Arial" w:hAnsi="Arial" w:cs="Arial"/>
                <w:kern w:val="0"/>
                <w:szCs w:val="21"/>
                <w:highlight w:val="none"/>
                <w:lang w:val="en-US" w:eastAsia="zh-CN"/>
              </w:rPr>
              <w:t>计费基数</w:t>
            </w:r>
          </w:p>
        </w:tc>
        <w:tc>
          <w:tcPr>
            <w:tcW w:w="1855" w:type="dxa"/>
            <w:vAlign w:val="center"/>
          </w:tcPr>
          <w:p w14:paraId="2474089C">
            <w:pPr>
              <w:spacing w:line="312" w:lineRule="auto"/>
              <w:jc w:val="center"/>
              <w:rPr>
                <w:rFonts w:hint="eastAsia" w:ascii="Arial" w:hAnsi="Arial" w:cs="Arial" w:eastAsiaTheme="minorEastAsia"/>
                <w:kern w:val="0"/>
                <w:szCs w:val="21"/>
                <w:highlight w:val="none"/>
                <w:lang w:eastAsia="zh-CN"/>
              </w:rPr>
            </w:pPr>
            <w:r>
              <w:rPr>
                <w:rFonts w:ascii="Arial" w:hAnsi="Arial" w:cs="Arial"/>
                <w:kern w:val="0"/>
                <w:szCs w:val="21"/>
                <w:highlight w:val="none"/>
              </w:rPr>
              <w:t>下浮系数</w:t>
            </w:r>
            <w:r>
              <w:rPr>
                <w:rFonts w:hint="eastAsia" w:ascii="Arial" w:hAnsi="Arial" w:cs="Arial"/>
                <w:kern w:val="0"/>
                <w:szCs w:val="21"/>
                <w:highlight w:val="none"/>
                <w:lang w:eastAsia="zh-CN"/>
              </w:rPr>
              <w:t>（</w:t>
            </w:r>
            <w:r>
              <w:rPr>
                <w:rFonts w:hint="eastAsia" w:ascii="Arial" w:hAnsi="Arial" w:cs="Arial"/>
                <w:kern w:val="0"/>
                <w:szCs w:val="21"/>
                <w:highlight w:val="none"/>
                <w:lang w:val="en-US" w:eastAsia="zh-CN"/>
              </w:rPr>
              <w:t>%</w:t>
            </w:r>
            <w:r>
              <w:rPr>
                <w:rFonts w:hint="eastAsia" w:ascii="Arial" w:hAnsi="Arial" w:cs="Arial"/>
                <w:kern w:val="0"/>
                <w:szCs w:val="21"/>
                <w:highlight w:val="none"/>
                <w:lang w:eastAsia="zh-CN"/>
              </w:rPr>
              <w:t>）</w:t>
            </w:r>
          </w:p>
        </w:tc>
        <w:tc>
          <w:tcPr>
            <w:tcW w:w="2018" w:type="dxa"/>
            <w:vAlign w:val="center"/>
          </w:tcPr>
          <w:p w14:paraId="0088FA50">
            <w:pPr>
              <w:spacing w:line="312" w:lineRule="auto"/>
              <w:jc w:val="center"/>
              <w:rPr>
                <w:rFonts w:ascii="Arial" w:hAnsi="Arial" w:cs="Arial"/>
                <w:kern w:val="0"/>
                <w:szCs w:val="21"/>
                <w:highlight w:val="none"/>
              </w:rPr>
            </w:pPr>
            <w:r>
              <w:rPr>
                <w:rFonts w:ascii="Arial" w:hAnsi="Arial" w:cs="Arial"/>
                <w:kern w:val="0"/>
                <w:szCs w:val="21"/>
                <w:highlight w:val="none"/>
              </w:rPr>
              <w:t>备注</w:t>
            </w:r>
          </w:p>
        </w:tc>
      </w:tr>
      <w:tr w14:paraId="7EF6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50" w:type="dxa"/>
            <w:vAlign w:val="center"/>
          </w:tcPr>
          <w:p w14:paraId="498C4553">
            <w:pPr>
              <w:spacing w:line="312" w:lineRule="auto"/>
              <w:jc w:val="center"/>
              <w:rPr>
                <w:rFonts w:ascii="Arial" w:hAnsi="Arial" w:cs="Arial"/>
                <w:kern w:val="0"/>
                <w:szCs w:val="21"/>
                <w:highlight w:val="none"/>
              </w:rPr>
            </w:pPr>
            <w:r>
              <w:rPr>
                <w:rFonts w:ascii="Arial" w:hAnsi="Arial" w:cs="Arial"/>
                <w:szCs w:val="21"/>
                <w:highlight w:val="none"/>
              </w:rPr>
              <w:t>1</w:t>
            </w:r>
          </w:p>
        </w:tc>
        <w:tc>
          <w:tcPr>
            <w:tcW w:w="3709" w:type="dxa"/>
            <w:gridSpan w:val="2"/>
            <w:vAlign w:val="center"/>
          </w:tcPr>
          <w:p w14:paraId="5245B48F">
            <w:pPr>
              <w:spacing w:line="312" w:lineRule="auto"/>
              <w:jc w:val="left"/>
              <w:rPr>
                <w:rFonts w:hint="default" w:ascii="Arial" w:hAnsi="Arial" w:cs="Arial" w:eastAsiaTheme="minorEastAsia"/>
                <w:szCs w:val="21"/>
                <w:highlight w:val="none"/>
                <w:lang w:val="en-US" w:eastAsia="zh-CN"/>
              </w:rPr>
            </w:pPr>
            <w:r>
              <w:rPr>
                <w:rFonts w:hint="eastAsia" w:ascii="Arial" w:hAnsi="Arial" w:cs="Arial"/>
                <w:kern w:val="0"/>
                <w:szCs w:val="21"/>
                <w:highlight w:val="none"/>
                <w:lang w:val="en-US" w:eastAsia="zh-CN"/>
              </w:rPr>
              <w:t>医院</w:t>
            </w:r>
            <w:r>
              <w:rPr>
                <w:rFonts w:hint="eastAsia" w:ascii="Arial" w:hAnsi="Arial" w:cs="Arial"/>
                <w:kern w:val="0"/>
                <w:szCs w:val="21"/>
                <w:highlight w:val="none"/>
              </w:rPr>
              <w:t>2000万元以下新建、改扩建、修缮工程的</w:t>
            </w:r>
            <w:r>
              <w:rPr>
                <w:rFonts w:hint="eastAsia" w:ascii="Arial" w:hAnsi="Arial" w:cs="Arial"/>
                <w:kern w:val="0"/>
                <w:szCs w:val="21"/>
                <w:highlight w:val="none"/>
                <w:lang w:val="en-US" w:eastAsia="zh-CN"/>
              </w:rPr>
              <w:t>预算审核</w:t>
            </w:r>
          </w:p>
        </w:tc>
        <w:tc>
          <w:tcPr>
            <w:tcW w:w="2318" w:type="dxa"/>
            <w:vAlign w:val="center"/>
          </w:tcPr>
          <w:p w14:paraId="636699CD">
            <w:pPr>
              <w:spacing w:line="312" w:lineRule="auto"/>
              <w:jc w:val="center"/>
              <w:rPr>
                <w:rFonts w:hint="default" w:ascii="Arial" w:hAnsi="Arial" w:cs="Arial" w:eastAsiaTheme="minorEastAsia"/>
                <w:kern w:val="0"/>
                <w:szCs w:val="21"/>
                <w:highlight w:val="none"/>
                <w:lang w:val="en-US" w:eastAsia="zh-CN"/>
              </w:rPr>
            </w:pPr>
            <w:r>
              <w:rPr>
                <w:rFonts w:hint="eastAsia" w:ascii="Arial" w:hAnsi="Arial" w:cs="Arial"/>
                <w:kern w:val="0"/>
                <w:szCs w:val="21"/>
                <w:highlight w:val="none"/>
                <w:lang w:val="en-US" w:eastAsia="zh-CN"/>
              </w:rPr>
              <w:t>审定预算价</w:t>
            </w:r>
          </w:p>
        </w:tc>
        <w:tc>
          <w:tcPr>
            <w:tcW w:w="1855" w:type="dxa"/>
            <w:vMerge w:val="restart"/>
            <w:vAlign w:val="center"/>
          </w:tcPr>
          <w:p w14:paraId="421EA37A">
            <w:pPr>
              <w:spacing w:line="312" w:lineRule="auto"/>
              <w:jc w:val="center"/>
              <w:rPr>
                <w:rFonts w:ascii="Arial" w:hAnsi="Arial" w:cs="Arial"/>
                <w:kern w:val="0"/>
                <w:szCs w:val="21"/>
                <w:highlight w:val="none"/>
              </w:rPr>
            </w:pPr>
            <w:r>
              <w:rPr>
                <w:rFonts w:hint="eastAsia" w:ascii="Arial" w:hAnsi="Arial" w:cs="Arial"/>
                <w:szCs w:val="21"/>
                <w:highlight w:val="none"/>
                <w:lang w:val="en-US" w:eastAsia="zh-CN"/>
              </w:rPr>
              <w:t xml:space="preserve">  </w:t>
            </w:r>
          </w:p>
        </w:tc>
        <w:tc>
          <w:tcPr>
            <w:tcW w:w="2018" w:type="dxa"/>
            <w:vAlign w:val="center"/>
          </w:tcPr>
          <w:p w14:paraId="2AAC4286">
            <w:pPr>
              <w:spacing w:line="312" w:lineRule="auto"/>
              <w:jc w:val="center"/>
              <w:rPr>
                <w:rFonts w:ascii="Arial" w:hAnsi="Arial" w:cs="Arial"/>
                <w:kern w:val="0"/>
                <w:szCs w:val="21"/>
                <w:highlight w:val="none"/>
              </w:rPr>
            </w:pPr>
          </w:p>
        </w:tc>
      </w:tr>
      <w:tr w14:paraId="0569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50" w:type="dxa"/>
            <w:vAlign w:val="center"/>
          </w:tcPr>
          <w:p w14:paraId="453CCF3A">
            <w:pPr>
              <w:spacing w:line="312" w:lineRule="auto"/>
              <w:jc w:val="center"/>
              <w:rPr>
                <w:rFonts w:hint="eastAsia" w:ascii="Arial" w:hAnsi="Arial" w:cs="Arial" w:eastAsiaTheme="minorEastAsia"/>
                <w:szCs w:val="21"/>
                <w:highlight w:val="none"/>
                <w:lang w:val="en-US" w:eastAsia="zh-CN"/>
              </w:rPr>
            </w:pPr>
            <w:r>
              <w:rPr>
                <w:rFonts w:hint="eastAsia" w:ascii="Arial" w:hAnsi="Arial" w:cs="Arial"/>
                <w:szCs w:val="21"/>
                <w:highlight w:val="none"/>
                <w:lang w:val="en-US" w:eastAsia="zh-CN"/>
              </w:rPr>
              <w:t>2</w:t>
            </w:r>
          </w:p>
        </w:tc>
        <w:tc>
          <w:tcPr>
            <w:tcW w:w="3709" w:type="dxa"/>
            <w:gridSpan w:val="2"/>
            <w:vAlign w:val="center"/>
          </w:tcPr>
          <w:p w14:paraId="7C99770F">
            <w:pPr>
              <w:spacing w:line="312" w:lineRule="auto"/>
              <w:jc w:val="left"/>
              <w:rPr>
                <w:rFonts w:hint="eastAsia" w:ascii="Arial" w:hAnsi="Arial" w:cs="Arial"/>
                <w:kern w:val="0"/>
                <w:szCs w:val="21"/>
                <w:highlight w:val="none"/>
              </w:rPr>
            </w:pPr>
            <w:r>
              <w:rPr>
                <w:rFonts w:hint="eastAsia" w:ascii="Arial" w:hAnsi="Arial" w:cs="Arial"/>
                <w:kern w:val="0"/>
                <w:szCs w:val="21"/>
                <w:highlight w:val="none"/>
              </w:rPr>
              <w:t>医院2000万元以下新建、改扩建、修缮工程的招标控制价（含招标工作量清单）</w:t>
            </w:r>
            <w:r>
              <w:rPr>
                <w:rFonts w:hint="eastAsia" w:ascii="Arial" w:hAnsi="Arial" w:cs="Arial"/>
                <w:kern w:val="0"/>
                <w:szCs w:val="21"/>
                <w:highlight w:val="none"/>
                <w:lang w:val="en-US" w:eastAsia="zh-CN"/>
              </w:rPr>
              <w:t>编制、</w:t>
            </w:r>
            <w:r>
              <w:rPr>
                <w:rFonts w:hint="eastAsia" w:ascii="Arial" w:hAnsi="Arial" w:cs="Arial"/>
                <w:kern w:val="0"/>
                <w:szCs w:val="21"/>
                <w:highlight w:val="none"/>
              </w:rPr>
              <w:t>审核</w:t>
            </w:r>
          </w:p>
        </w:tc>
        <w:tc>
          <w:tcPr>
            <w:tcW w:w="2318" w:type="dxa"/>
            <w:vAlign w:val="center"/>
          </w:tcPr>
          <w:p w14:paraId="53853000">
            <w:pPr>
              <w:spacing w:line="312" w:lineRule="auto"/>
              <w:jc w:val="center"/>
              <w:rPr>
                <w:rFonts w:ascii="Arial" w:hAnsi="Arial" w:cs="Arial"/>
                <w:kern w:val="0"/>
                <w:szCs w:val="21"/>
                <w:highlight w:val="none"/>
              </w:rPr>
            </w:pPr>
            <w:r>
              <w:rPr>
                <w:rFonts w:hint="eastAsia" w:ascii="Arial" w:hAnsi="Arial" w:cs="Arial"/>
                <w:kern w:val="0"/>
                <w:szCs w:val="21"/>
                <w:highlight w:val="none"/>
                <w:lang w:val="en-US" w:eastAsia="zh-CN"/>
              </w:rPr>
              <w:t>审定招标控制价</w:t>
            </w:r>
          </w:p>
        </w:tc>
        <w:tc>
          <w:tcPr>
            <w:tcW w:w="1855" w:type="dxa"/>
            <w:vMerge w:val="continue"/>
            <w:vAlign w:val="center"/>
          </w:tcPr>
          <w:p w14:paraId="37155A99">
            <w:pPr>
              <w:spacing w:line="312" w:lineRule="auto"/>
              <w:jc w:val="center"/>
              <w:rPr>
                <w:rFonts w:ascii="Arial" w:hAnsi="Arial" w:cs="Arial"/>
                <w:szCs w:val="21"/>
                <w:highlight w:val="none"/>
              </w:rPr>
            </w:pPr>
          </w:p>
        </w:tc>
        <w:tc>
          <w:tcPr>
            <w:tcW w:w="2018" w:type="dxa"/>
            <w:vAlign w:val="center"/>
          </w:tcPr>
          <w:p w14:paraId="7EB83E4D">
            <w:pPr>
              <w:spacing w:line="312" w:lineRule="auto"/>
              <w:jc w:val="center"/>
              <w:rPr>
                <w:rFonts w:ascii="Arial" w:hAnsi="Arial" w:cs="Arial"/>
                <w:kern w:val="0"/>
                <w:szCs w:val="21"/>
                <w:highlight w:val="none"/>
              </w:rPr>
            </w:pPr>
          </w:p>
        </w:tc>
      </w:tr>
      <w:tr w14:paraId="45A2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750" w:type="dxa"/>
            <w:vAlign w:val="center"/>
          </w:tcPr>
          <w:p w14:paraId="1146A433">
            <w:pPr>
              <w:spacing w:line="312" w:lineRule="auto"/>
              <w:jc w:val="center"/>
              <w:rPr>
                <w:rFonts w:hint="default" w:ascii="Arial" w:hAnsi="Arial" w:cs="Arial" w:eastAsiaTheme="minorEastAsia"/>
                <w:szCs w:val="21"/>
                <w:highlight w:val="none"/>
                <w:lang w:val="en-US" w:eastAsia="zh-CN"/>
              </w:rPr>
            </w:pPr>
            <w:r>
              <w:rPr>
                <w:rFonts w:hint="eastAsia" w:ascii="Arial" w:hAnsi="Arial" w:cs="Arial"/>
                <w:szCs w:val="21"/>
                <w:highlight w:val="none"/>
                <w:lang w:val="en-US" w:eastAsia="zh-CN"/>
              </w:rPr>
              <w:t>3</w:t>
            </w:r>
          </w:p>
        </w:tc>
        <w:tc>
          <w:tcPr>
            <w:tcW w:w="3709" w:type="dxa"/>
            <w:gridSpan w:val="2"/>
            <w:vAlign w:val="center"/>
          </w:tcPr>
          <w:p w14:paraId="2A03EED6">
            <w:pPr>
              <w:spacing w:line="312" w:lineRule="auto"/>
              <w:jc w:val="left"/>
              <w:rPr>
                <w:rFonts w:hint="eastAsia" w:ascii="Arial" w:hAnsi="Arial" w:cs="Arial"/>
                <w:kern w:val="0"/>
                <w:szCs w:val="21"/>
                <w:highlight w:val="none"/>
              </w:rPr>
            </w:pPr>
            <w:r>
              <w:rPr>
                <w:rFonts w:hint="eastAsia" w:ascii="Arial" w:hAnsi="Arial" w:cs="Arial"/>
                <w:kern w:val="0"/>
                <w:szCs w:val="21"/>
                <w:highlight w:val="none"/>
              </w:rPr>
              <w:t>医院2000万元以下新建、改扩建、修缮工程</w:t>
            </w:r>
            <w:r>
              <w:rPr>
                <w:rFonts w:hint="eastAsia" w:ascii="Arial" w:hAnsi="Arial" w:cs="Arial"/>
                <w:kern w:val="0"/>
                <w:szCs w:val="21"/>
                <w:highlight w:val="none"/>
                <w:lang w:val="en-US" w:eastAsia="zh-CN"/>
              </w:rPr>
              <w:t>的</w:t>
            </w:r>
            <w:r>
              <w:rPr>
                <w:rFonts w:hint="eastAsia" w:ascii="Arial" w:hAnsi="Arial" w:cs="Arial"/>
                <w:kern w:val="0"/>
                <w:szCs w:val="21"/>
                <w:highlight w:val="none"/>
              </w:rPr>
              <w:t>施工阶段造价跟踪审核（包括但不限于已完工程、工程变更、进度款审核及现场</w:t>
            </w:r>
            <w:r>
              <w:rPr>
                <w:rFonts w:hint="eastAsia" w:ascii="Arial" w:hAnsi="Arial" w:cs="Arial"/>
                <w:kern w:val="0"/>
                <w:szCs w:val="21"/>
                <w:highlight w:val="none"/>
                <w:lang w:val="en-US" w:eastAsia="zh-CN"/>
              </w:rPr>
              <w:t>见证</w:t>
            </w:r>
            <w:r>
              <w:rPr>
                <w:rFonts w:hint="eastAsia" w:ascii="Arial" w:hAnsi="Arial" w:cs="Arial"/>
                <w:kern w:val="0"/>
                <w:szCs w:val="21"/>
                <w:highlight w:val="none"/>
              </w:rPr>
              <w:t>）</w:t>
            </w:r>
          </w:p>
        </w:tc>
        <w:tc>
          <w:tcPr>
            <w:tcW w:w="2318" w:type="dxa"/>
            <w:vAlign w:val="center"/>
          </w:tcPr>
          <w:p w14:paraId="76E5F657">
            <w:pPr>
              <w:spacing w:line="312" w:lineRule="auto"/>
              <w:jc w:val="center"/>
              <w:rPr>
                <w:rFonts w:hint="eastAsia" w:ascii="Arial" w:hAnsi="Arial" w:cs="Arial"/>
                <w:kern w:val="0"/>
                <w:szCs w:val="21"/>
                <w:highlight w:val="none"/>
                <w:lang w:val="en-US" w:eastAsia="zh-CN"/>
              </w:rPr>
            </w:pPr>
            <w:r>
              <w:rPr>
                <w:rFonts w:hint="eastAsia" w:ascii="Arial" w:hAnsi="Arial" w:cs="Arial"/>
                <w:kern w:val="0"/>
                <w:szCs w:val="21"/>
                <w:highlight w:val="none"/>
                <w:lang w:val="en-US" w:eastAsia="zh-CN"/>
              </w:rPr>
              <w:t>审定进度款</w:t>
            </w:r>
          </w:p>
          <w:p w14:paraId="414672C6">
            <w:pPr>
              <w:spacing w:line="312" w:lineRule="auto"/>
              <w:jc w:val="center"/>
              <w:rPr>
                <w:rFonts w:hint="default" w:ascii="Arial" w:hAnsi="Arial" w:cs="Arial" w:eastAsiaTheme="minorEastAsia"/>
                <w:kern w:val="0"/>
                <w:szCs w:val="21"/>
                <w:highlight w:val="none"/>
                <w:lang w:val="en-US" w:eastAsia="zh-CN"/>
              </w:rPr>
            </w:pPr>
            <w:r>
              <w:rPr>
                <w:rFonts w:hint="eastAsia" w:ascii="Arial" w:hAnsi="Arial" w:cs="Arial"/>
                <w:kern w:val="0"/>
                <w:szCs w:val="21"/>
                <w:highlight w:val="none"/>
                <w:lang w:val="en-US" w:eastAsia="zh-CN"/>
              </w:rPr>
              <w:t>（含扣回的预付款）</w:t>
            </w:r>
          </w:p>
        </w:tc>
        <w:tc>
          <w:tcPr>
            <w:tcW w:w="1855" w:type="dxa"/>
            <w:vMerge w:val="continue"/>
            <w:vAlign w:val="center"/>
          </w:tcPr>
          <w:p w14:paraId="4FADA424">
            <w:pPr>
              <w:spacing w:line="312" w:lineRule="auto"/>
              <w:jc w:val="center"/>
              <w:rPr>
                <w:rFonts w:ascii="Arial" w:hAnsi="Arial" w:cs="Arial"/>
                <w:szCs w:val="21"/>
                <w:highlight w:val="none"/>
              </w:rPr>
            </w:pPr>
          </w:p>
        </w:tc>
        <w:tc>
          <w:tcPr>
            <w:tcW w:w="2018" w:type="dxa"/>
            <w:vAlign w:val="center"/>
          </w:tcPr>
          <w:p w14:paraId="1E6F56A9">
            <w:pPr>
              <w:spacing w:line="312" w:lineRule="auto"/>
              <w:jc w:val="center"/>
              <w:rPr>
                <w:rFonts w:ascii="Arial" w:hAnsi="Arial" w:cs="Arial"/>
                <w:kern w:val="0"/>
                <w:szCs w:val="21"/>
                <w:highlight w:val="none"/>
              </w:rPr>
            </w:pPr>
          </w:p>
        </w:tc>
      </w:tr>
      <w:tr w14:paraId="29A8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50" w:type="dxa"/>
            <w:vMerge w:val="restart"/>
            <w:vAlign w:val="center"/>
          </w:tcPr>
          <w:p w14:paraId="71811F3F">
            <w:pPr>
              <w:spacing w:line="312" w:lineRule="auto"/>
              <w:jc w:val="center"/>
              <w:rPr>
                <w:rFonts w:hint="eastAsia" w:ascii="Arial" w:hAnsi="Arial" w:cs="Arial" w:eastAsiaTheme="minorEastAsia"/>
                <w:szCs w:val="21"/>
                <w:highlight w:val="none"/>
                <w:lang w:val="en-US" w:eastAsia="zh-CN"/>
              </w:rPr>
            </w:pPr>
            <w:r>
              <w:rPr>
                <w:rFonts w:hint="eastAsia" w:ascii="Arial" w:hAnsi="Arial" w:cs="Arial"/>
                <w:szCs w:val="21"/>
                <w:highlight w:val="none"/>
                <w:lang w:val="en-US" w:eastAsia="zh-CN"/>
              </w:rPr>
              <w:t>4</w:t>
            </w:r>
          </w:p>
        </w:tc>
        <w:tc>
          <w:tcPr>
            <w:tcW w:w="2196" w:type="dxa"/>
            <w:vMerge w:val="restart"/>
            <w:shd w:val="clear" w:color="auto" w:fill="auto"/>
            <w:vAlign w:val="center"/>
          </w:tcPr>
          <w:p w14:paraId="3912BACB">
            <w:pPr>
              <w:spacing w:line="312" w:lineRule="auto"/>
              <w:jc w:val="left"/>
              <w:rPr>
                <w:rFonts w:hint="eastAsia" w:ascii="Arial" w:hAnsi="Arial" w:cs="Arial" w:eastAsiaTheme="minorEastAsia"/>
                <w:kern w:val="0"/>
                <w:sz w:val="21"/>
                <w:szCs w:val="21"/>
                <w:highlight w:val="none"/>
                <w:lang w:val="en-US" w:eastAsia="zh-CN" w:bidi="ar-SA"/>
              </w:rPr>
            </w:pPr>
            <w:r>
              <w:rPr>
                <w:rFonts w:hint="eastAsia" w:ascii="Arial" w:hAnsi="Arial" w:cs="Arial"/>
                <w:kern w:val="0"/>
                <w:szCs w:val="21"/>
                <w:highlight w:val="none"/>
              </w:rPr>
              <w:t>医院2000万元以下新建、改扩建、修缮工程</w:t>
            </w:r>
            <w:r>
              <w:rPr>
                <w:rFonts w:hint="eastAsia" w:ascii="Arial" w:hAnsi="Arial" w:cs="Arial"/>
                <w:kern w:val="0"/>
                <w:szCs w:val="21"/>
                <w:highlight w:val="none"/>
                <w:lang w:val="en-US" w:eastAsia="zh-CN"/>
              </w:rPr>
              <w:t>的</w:t>
            </w:r>
            <w:r>
              <w:rPr>
                <w:rFonts w:hint="eastAsia" w:ascii="Arial" w:hAnsi="Arial" w:cs="Arial"/>
                <w:kern w:val="0"/>
                <w:szCs w:val="21"/>
                <w:highlight w:val="none"/>
              </w:rPr>
              <w:t>竣工结算审核</w:t>
            </w:r>
          </w:p>
        </w:tc>
        <w:tc>
          <w:tcPr>
            <w:tcW w:w="1513" w:type="dxa"/>
            <w:shd w:val="clear" w:color="auto" w:fill="auto"/>
            <w:vAlign w:val="center"/>
          </w:tcPr>
          <w:p w14:paraId="3B86122A">
            <w:pPr>
              <w:spacing w:line="312" w:lineRule="auto"/>
              <w:jc w:val="center"/>
              <w:rPr>
                <w:rFonts w:hint="eastAsia" w:ascii="Arial" w:hAnsi="Arial" w:cs="Arial" w:eastAsiaTheme="minorEastAsia"/>
                <w:kern w:val="0"/>
                <w:szCs w:val="21"/>
                <w:highlight w:val="none"/>
                <w:lang w:val="en-US" w:eastAsia="zh-CN"/>
              </w:rPr>
            </w:pPr>
            <w:r>
              <w:rPr>
                <w:rFonts w:hint="eastAsia" w:ascii="Arial" w:hAnsi="Arial" w:cs="Arial"/>
                <w:kern w:val="0"/>
                <w:szCs w:val="21"/>
                <w:highlight w:val="none"/>
                <w:lang w:val="en-US" w:eastAsia="zh-CN"/>
              </w:rPr>
              <w:t>基本费</w:t>
            </w:r>
          </w:p>
        </w:tc>
        <w:tc>
          <w:tcPr>
            <w:tcW w:w="2318" w:type="dxa"/>
            <w:vAlign w:val="center"/>
          </w:tcPr>
          <w:p w14:paraId="3BF6A755">
            <w:pPr>
              <w:spacing w:line="312" w:lineRule="auto"/>
              <w:jc w:val="center"/>
              <w:rPr>
                <w:rFonts w:hint="default" w:ascii="Arial" w:hAnsi="Arial" w:cs="Arial" w:eastAsiaTheme="minorEastAsia"/>
                <w:kern w:val="0"/>
                <w:szCs w:val="21"/>
                <w:highlight w:val="none"/>
                <w:lang w:val="en-US" w:eastAsia="zh-CN"/>
              </w:rPr>
            </w:pPr>
            <w:r>
              <w:rPr>
                <w:rFonts w:hint="eastAsia" w:ascii="Arial" w:hAnsi="Arial" w:cs="Arial"/>
                <w:kern w:val="0"/>
                <w:szCs w:val="21"/>
                <w:highlight w:val="none"/>
                <w:lang w:val="en-US" w:eastAsia="zh-CN"/>
              </w:rPr>
              <w:t>送审结算价</w:t>
            </w:r>
          </w:p>
        </w:tc>
        <w:tc>
          <w:tcPr>
            <w:tcW w:w="1855" w:type="dxa"/>
            <w:vMerge w:val="continue"/>
            <w:vAlign w:val="center"/>
          </w:tcPr>
          <w:p w14:paraId="144730BF">
            <w:pPr>
              <w:spacing w:line="312" w:lineRule="auto"/>
              <w:jc w:val="center"/>
              <w:rPr>
                <w:rFonts w:ascii="Arial" w:hAnsi="Arial" w:cs="Arial"/>
                <w:szCs w:val="21"/>
                <w:highlight w:val="none"/>
              </w:rPr>
            </w:pPr>
          </w:p>
        </w:tc>
        <w:tc>
          <w:tcPr>
            <w:tcW w:w="2018" w:type="dxa"/>
            <w:vMerge w:val="restart"/>
            <w:vAlign w:val="center"/>
          </w:tcPr>
          <w:p w14:paraId="41B9C374">
            <w:pPr>
              <w:spacing w:line="312" w:lineRule="auto"/>
              <w:jc w:val="center"/>
              <w:rPr>
                <w:rFonts w:ascii="Arial" w:hAnsi="Arial" w:cs="Arial"/>
                <w:kern w:val="0"/>
                <w:szCs w:val="21"/>
                <w:highlight w:val="none"/>
              </w:rPr>
            </w:pPr>
          </w:p>
        </w:tc>
      </w:tr>
      <w:tr w14:paraId="5314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50" w:type="dxa"/>
            <w:vMerge w:val="continue"/>
            <w:vAlign w:val="center"/>
          </w:tcPr>
          <w:p w14:paraId="62A41961">
            <w:pPr>
              <w:spacing w:line="312" w:lineRule="auto"/>
              <w:jc w:val="center"/>
              <w:rPr>
                <w:rFonts w:hint="eastAsia" w:ascii="Arial" w:hAnsi="Arial" w:cs="Arial"/>
                <w:szCs w:val="21"/>
                <w:highlight w:val="none"/>
                <w:lang w:val="en-US" w:eastAsia="zh-CN"/>
              </w:rPr>
            </w:pPr>
          </w:p>
        </w:tc>
        <w:tc>
          <w:tcPr>
            <w:tcW w:w="2196" w:type="dxa"/>
            <w:vMerge w:val="continue"/>
            <w:shd w:val="clear" w:color="auto" w:fill="auto"/>
            <w:vAlign w:val="center"/>
          </w:tcPr>
          <w:p w14:paraId="55DD5D00">
            <w:pPr>
              <w:spacing w:line="312" w:lineRule="auto"/>
              <w:jc w:val="left"/>
              <w:rPr>
                <w:rFonts w:hint="eastAsia" w:ascii="Arial" w:hAnsi="Arial" w:cs="Arial"/>
                <w:kern w:val="0"/>
                <w:szCs w:val="21"/>
                <w:highlight w:val="none"/>
              </w:rPr>
            </w:pPr>
          </w:p>
        </w:tc>
        <w:tc>
          <w:tcPr>
            <w:tcW w:w="1513" w:type="dxa"/>
            <w:shd w:val="clear" w:color="auto" w:fill="auto"/>
            <w:vAlign w:val="center"/>
          </w:tcPr>
          <w:p w14:paraId="43E730D2">
            <w:pPr>
              <w:spacing w:line="312" w:lineRule="auto"/>
              <w:jc w:val="center"/>
              <w:rPr>
                <w:rFonts w:hint="eastAsia" w:ascii="Arial" w:hAnsi="Arial" w:cs="Arial" w:eastAsiaTheme="minorEastAsia"/>
                <w:kern w:val="0"/>
                <w:szCs w:val="21"/>
                <w:highlight w:val="none"/>
                <w:lang w:val="en-US" w:eastAsia="zh-CN"/>
              </w:rPr>
            </w:pPr>
            <w:r>
              <w:rPr>
                <w:rFonts w:hint="eastAsia" w:ascii="Arial" w:hAnsi="Arial" w:cs="Arial"/>
                <w:kern w:val="0"/>
                <w:szCs w:val="21"/>
                <w:highlight w:val="none"/>
                <w:lang w:val="en-US" w:eastAsia="zh-CN"/>
              </w:rPr>
              <w:t>效益费</w:t>
            </w:r>
          </w:p>
        </w:tc>
        <w:tc>
          <w:tcPr>
            <w:tcW w:w="2318" w:type="dxa"/>
            <w:vAlign w:val="center"/>
          </w:tcPr>
          <w:p w14:paraId="69959590">
            <w:pPr>
              <w:spacing w:line="312" w:lineRule="auto"/>
              <w:jc w:val="center"/>
              <w:rPr>
                <w:rFonts w:hint="eastAsia" w:ascii="Arial" w:hAnsi="Arial" w:cs="Arial"/>
                <w:kern w:val="0"/>
                <w:szCs w:val="21"/>
                <w:highlight w:val="none"/>
              </w:rPr>
            </w:pPr>
            <w:r>
              <w:rPr>
                <w:rFonts w:hint="eastAsia" w:ascii="Arial" w:hAnsi="Arial" w:cs="Arial"/>
                <w:kern w:val="0"/>
                <w:szCs w:val="21"/>
                <w:highlight w:val="none"/>
              </w:rPr>
              <w:t>︱核减额︱+</w:t>
            </w:r>
          </w:p>
          <w:p w14:paraId="30C5C0C7">
            <w:pPr>
              <w:spacing w:line="312" w:lineRule="auto"/>
              <w:jc w:val="center"/>
              <w:rPr>
                <w:rFonts w:hint="default" w:ascii="Arial" w:hAnsi="Arial" w:cs="Arial" w:eastAsiaTheme="minorEastAsia"/>
                <w:kern w:val="0"/>
                <w:szCs w:val="21"/>
                <w:highlight w:val="none"/>
                <w:lang w:val="en-US" w:eastAsia="zh-CN"/>
              </w:rPr>
            </w:pPr>
            <w:r>
              <w:rPr>
                <w:rFonts w:hint="eastAsia" w:ascii="Arial" w:hAnsi="Arial" w:cs="Arial"/>
                <w:kern w:val="0"/>
                <w:szCs w:val="21"/>
                <w:highlight w:val="none"/>
              </w:rPr>
              <w:t>核增额</w:t>
            </w:r>
          </w:p>
        </w:tc>
        <w:tc>
          <w:tcPr>
            <w:tcW w:w="1855" w:type="dxa"/>
            <w:vMerge w:val="continue"/>
            <w:vAlign w:val="center"/>
          </w:tcPr>
          <w:p w14:paraId="70BBB70D">
            <w:pPr>
              <w:spacing w:line="312" w:lineRule="auto"/>
              <w:jc w:val="center"/>
              <w:rPr>
                <w:rFonts w:ascii="Arial" w:hAnsi="Arial" w:cs="Arial"/>
                <w:szCs w:val="21"/>
                <w:highlight w:val="none"/>
              </w:rPr>
            </w:pPr>
          </w:p>
        </w:tc>
        <w:tc>
          <w:tcPr>
            <w:tcW w:w="2018" w:type="dxa"/>
            <w:vMerge w:val="continue"/>
            <w:vAlign w:val="center"/>
          </w:tcPr>
          <w:p w14:paraId="348457C1">
            <w:pPr>
              <w:spacing w:line="312" w:lineRule="auto"/>
              <w:jc w:val="center"/>
              <w:rPr>
                <w:rFonts w:ascii="Arial" w:hAnsi="Arial" w:cs="Arial"/>
                <w:kern w:val="0"/>
                <w:szCs w:val="21"/>
                <w:highlight w:val="none"/>
              </w:rPr>
            </w:pPr>
          </w:p>
        </w:tc>
      </w:tr>
      <w:tr w14:paraId="220C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650" w:type="dxa"/>
            <w:gridSpan w:val="6"/>
            <w:vAlign w:val="center"/>
          </w:tcPr>
          <w:p w14:paraId="57E0CFFE">
            <w:pPr>
              <w:spacing w:line="312" w:lineRule="auto"/>
              <w:jc w:val="left"/>
              <w:rPr>
                <w:rFonts w:hint="eastAsia" w:ascii="Arial" w:hAnsi="Arial" w:cs="Arial"/>
                <w:kern w:val="0"/>
                <w:szCs w:val="21"/>
                <w:highlight w:val="none"/>
              </w:rPr>
            </w:pPr>
            <w:r>
              <w:rPr>
                <w:rFonts w:hint="eastAsia" w:ascii="Arial" w:hAnsi="Arial" w:cs="Arial"/>
                <w:b/>
                <w:bCs/>
                <w:color w:val="FF0000"/>
                <w:kern w:val="0"/>
                <w:szCs w:val="21"/>
                <w:highlight w:val="none"/>
              </w:rPr>
              <w:t>以上</w:t>
            </w:r>
            <w:r>
              <w:rPr>
                <w:rFonts w:hint="eastAsia" w:ascii="Arial" w:hAnsi="Arial" w:cs="Arial"/>
                <w:b/>
                <w:bCs/>
                <w:color w:val="FF0000"/>
                <w:kern w:val="0"/>
                <w:sz w:val="21"/>
                <w:szCs w:val="21"/>
                <w:highlight w:val="none"/>
                <w:lang w:val="en-US" w:eastAsia="zh-CN"/>
              </w:rPr>
              <w:t>报价均按</w:t>
            </w:r>
            <w:r>
              <w:rPr>
                <w:rFonts w:hint="eastAsia" w:ascii="Arial" w:hAnsi="Arial" w:cs="Arial" w:eastAsiaTheme="minorEastAsia"/>
                <w:b/>
                <w:bCs/>
                <w:color w:val="FF0000"/>
                <w:kern w:val="0"/>
                <w:sz w:val="21"/>
                <w:szCs w:val="21"/>
                <w:highlight w:val="none"/>
                <w:lang w:val="en-US" w:eastAsia="zh-CN"/>
              </w:rPr>
              <w:t>工程造价咨询服务收费标准</w:t>
            </w:r>
            <w:r>
              <w:rPr>
                <w:rFonts w:hint="eastAsia" w:ascii="Arial" w:hAnsi="Arial" w:cs="Arial"/>
                <w:b/>
                <w:bCs/>
                <w:color w:val="FF0000"/>
                <w:kern w:val="0"/>
                <w:sz w:val="21"/>
                <w:szCs w:val="21"/>
                <w:highlight w:val="none"/>
                <w:lang w:val="en-US" w:eastAsia="zh-CN"/>
              </w:rPr>
              <w:t>进行报价，</w:t>
            </w:r>
            <w:r>
              <w:rPr>
                <w:rFonts w:hint="eastAsia" w:ascii="Arial" w:hAnsi="Arial" w:cs="Arial"/>
                <w:b/>
                <w:bCs/>
                <w:color w:val="FF0000"/>
                <w:kern w:val="0"/>
                <w:szCs w:val="21"/>
                <w:highlight w:val="none"/>
              </w:rPr>
              <w:t>单个项目造价咨询服务费不足</w:t>
            </w:r>
            <w:r>
              <w:rPr>
                <w:rFonts w:hint="eastAsia" w:ascii="Arial" w:hAnsi="Arial" w:cs="Arial"/>
                <w:b/>
                <w:bCs/>
                <w:color w:val="FF0000"/>
                <w:kern w:val="0"/>
                <w:sz w:val="21"/>
                <w:szCs w:val="21"/>
                <w:highlight w:val="none"/>
                <w:lang w:val="en-US" w:eastAsia="zh-CN"/>
              </w:rPr>
              <w:t>2000</w:t>
            </w:r>
            <w:r>
              <w:rPr>
                <w:rFonts w:hint="eastAsia" w:ascii="Arial" w:hAnsi="Arial" w:cs="Arial"/>
                <w:b/>
                <w:bCs/>
                <w:color w:val="FF0000"/>
                <w:kern w:val="0"/>
                <w:szCs w:val="21"/>
                <w:highlight w:val="none"/>
              </w:rPr>
              <w:t>元</w:t>
            </w:r>
            <w:r>
              <w:rPr>
                <w:rFonts w:hint="eastAsia" w:ascii="Arial" w:hAnsi="Arial" w:cs="Arial"/>
                <w:b/>
                <w:bCs/>
                <w:color w:val="FF0000"/>
                <w:kern w:val="0"/>
                <w:sz w:val="21"/>
                <w:szCs w:val="21"/>
                <w:highlight w:val="none"/>
                <w:lang w:val="en-US" w:eastAsia="zh-CN"/>
              </w:rPr>
              <w:t>时</w:t>
            </w:r>
            <w:r>
              <w:rPr>
                <w:rFonts w:hint="eastAsia" w:ascii="Arial" w:hAnsi="Arial" w:cs="Arial"/>
                <w:b/>
                <w:bCs/>
                <w:color w:val="FF0000"/>
                <w:kern w:val="0"/>
                <w:szCs w:val="21"/>
                <w:highlight w:val="none"/>
              </w:rPr>
              <w:t>按</w:t>
            </w:r>
            <w:r>
              <w:rPr>
                <w:rFonts w:hint="eastAsia" w:ascii="Arial" w:hAnsi="Arial" w:cs="Arial"/>
                <w:b/>
                <w:bCs/>
                <w:color w:val="FF0000"/>
                <w:kern w:val="0"/>
                <w:sz w:val="21"/>
                <w:szCs w:val="21"/>
                <w:highlight w:val="none"/>
                <w:lang w:eastAsia="zh-CN"/>
              </w:rPr>
              <w:t>x</w:t>
            </w:r>
            <w:r>
              <w:rPr>
                <w:rFonts w:hint="eastAsia" w:ascii="Arial" w:hAnsi="Arial" w:cs="Arial"/>
                <w:b/>
                <w:bCs/>
                <w:color w:val="FF0000"/>
                <w:kern w:val="0"/>
                <w:sz w:val="21"/>
                <w:szCs w:val="21"/>
                <w:highlight w:val="none"/>
                <w:lang w:val="en-US" w:eastAsia="zh-CN"/>
              </w:rPr>
              <w:t>x</w:t>
            </w:r>
            <w:r>
              <w:rPr>
                <w:rFonts w:hint="eastAsia" w:ascii="Arial" w:hAnsi="Arial" w:cs="Arial"/>
                <w:b/>
                <w:bCs/>
                <w:color w:val="FF0000"/>
                <w:kern w:val="0"/>
                <w:szCs w:val="21"/>
                <w:highlight w:val="none"/>
              </w:rPr>
              <w:t>元</w:t>
            </w:r>
            <w:r>
              <w:rPr>
                <w:rFonts w:hint="eastAsia" w:ascii="Arial" w:hAnsi="Arial" w:cs="Arial"/>
                <w:b/>
                <w:bCs/>
                <w:color w:val="FF0000"/>
                <w:kern w:val="0"/>
                <w:szCs w:val="21"/>
                <w:highlight w:val="none"/>
                <w:lang w:val="en-US" w:eastAsia="zh-CN"/>
              </w:rPr>
              <w:t>收费</w:t>
            </w:r>
            <w:r>
              <w:rPr>
                <w:rFonts w:hint="eastAsia" w:ascii="Arial" w:hAnsi="Arial" w:cs="Arial"/>
                <w:b/>
                <w:bCs/>
                <w:color w:val="FF0000"/>
                <w:kern w:val="0"/>
                <w:sz w:val="21"/>
                <w:szCs w:val="21"/>
                <w:highlight w:val="none"/>
                <w:lang w:eastAsia="zh-CN"/>
              </w:rPr>
              <w:t>。</w:t>
            </w:r>
          </w:p>
        </w:tc>
      </w:tr>
    </w:tbl>
    <w:p w14:paraId="65DB08CD">
      <w:pPr>
        <w:spacing w:line="360" w:lineRule="auto"/>
        <w:rPr>
          <w:szCs w:val="21"/>
          <w:highlight w:val="none"/>
        </w:rPr>
      </w:pPr>
    </w:p>
    <w:p w14:paraId="1FA8F1F4">
      <w:pPr>
        <w:spacing w:line="360" w:lineRule="auto"/>
        <w:rPr>
          <w:szCs w:val="21"/>
          <w:highlight w:val="none"/>
        </w:rPr>
      </w:pPr>
    </w:p>
    <w:p w14:paraId="6CECC389">
      <w:pPr>
        <w:spacing w:line="560" w:lineRule="exact"/>
        <w:rPr>
          <w:spacing w:val="20"/>
          <w:szCs w:val="21"/>
          <w:highlight w:val="none"/>
          <w:u w:val="single"/>
        </w:rPr>
      </w:pPr>
      <w:r>
        <w:rPr>
          <w:szCs w:val="21"/>
          <w:highlight w:val="none"/>
        </w:rPr>
        <w:t>法定代表人或授权代表（签名或盖章）</w:t>
      </w:r>
      <w:r>
        <w:rPr>
          <w:spacing w:val="20"/>
          <w:szCs w:val="21"/>
          <w:highlight w:val="none"/>
        </w:rPr>
        <w:t>：</w:t>
      </w:r>
      <w:r>
        <w:rPr>
          <w:spacing w:val="20"/>
          <w:szCs w:val="21"/>
          <w:highlight w:val="none"/>
          <w:u w:val="single"/>
        </w:rPr>
        <w:t xml:space="preserve">                     </w:t>
      </w:r>
    </w:p>
    <w:p w14:paraId="54740DE3">
      <w:pPr>
        <w:spacing w:line="560" w:lineRule="exact"/>
        <w:rPr>
          <w:szCs w:val="21"/>
          <w:highlight w:val="none"/>
        </w:rPr>
      </w:pPr>
      <w:r>
        <w:rPr>
          <w:szCs w:val="21"/>
          <w:highlight w:val="none"/>
        </w:rPr>
        <w:t>供应商名称（公章）：</w:t>
      </w:r>
      <w:r>
        <w:rPr>
          <w:szCs w:val="21"/>
          <w:highlight w:val="none"/>
          <w:u w:val="single"/>
        </w:rPr>
        <w:t xml:space="preserve">                          </w:t>
      </w:r>
    </w:p>
    <w:p w14:paraId="6742B1E9">
      <w:pPr>
        <w:spacing w:line="560" w:lineRule="exact"/>
        <w:rPr>
          <w:rFonts w:ascii="Arial" w:hAnsi="Arial" w:cs="Arial"/>
          <w:szCs w:val="21"/>
          <w:highlight w:val="none"/>
        </w:rPr>
      </w:pPr>
      <w:r>
        <w:rPr>
          <w:rFonts w:ascii="Arial" w:hAnsi="Arial" w:cs="Arial"/>
          <w:szCs w:val="21"/>
          <w:highlight w:val="none"/>
        </w:rPr>
        <w:t>日期：     年    月    日</w:t>
      </w:r>
    </w:p>
    <w:p w14:paraId="41BB9286">
      <w:pPr>
        <w:pStyle w:val="11"/>
        <w:ind w:firstLine="0" w:firstLineChars="0"/>
        <w:rPr>
          <w:rFonts w:hint="default"/>
          <w:sz w:val="21"/>
          <w:szCs w:val="21"/>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6D8F047">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cs="宋体"/>
          <w:sz w:val="21"/>
          <w:szCs w:val="21"/>
          <w:highlight w:val="none"/>
          <w:lang w:val="en-US" w:eastAsia="zh-CN"/>
        </w:rPr>
      </w:pPr>
      <w:r>
        <w:rPr>
          <w:rFonts w:hint="eastAsia" w:cs="宋体"/>
          <w:sz w:val="21"/>
          <w:szCs w:val="21"/>
          <w:highlight w:val="none"/>
          <w:lang w:val="en-US" w:eastAsia="zh-CN"/>
        </w:rPr>
        <w:t>附件2</w:t>
      </w:r>
    </w:p>
    <w:p w14:paraId="4BC05E42">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highlight w:val="none"/>
          <w:lang w:val="en-US" w:eastAsia="zh-CN"/>
        </w:rPr>
      </w:pPr>
    </w:p>
    <w:p w14:paraId="26462677">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cs="宋体" w:asciiTheme="minorHAnsi" w:hAnsiTheme="minorHAnsi" w:eastAsiaTheme="minorEastAsia"/>
          <w:b/>
          <w:bCs/>
          <w:sz w:val="36"/>
          <w:szCs w:val="36"/>
          <w:highlight w:val="none"/>
          <w:lang w:val="en-US" w:eastAsia="zh-CN"/>
        </w:rPr>
      </w:pPr>
      <w:r>
        <w:rPr>
          <w:rFonts w:hint="eastAsia" w:cs="宋体" w:asciiTheme="minorHAnsi" w:hAnsiTheme="minorHAnsi" w:eastAsiaTheme="minorEastAsia"/>
          <w:b/>
          <w:bCs/>
          <w:sz w:val="36"/>
          <w:szCs w:val="36"/>
          <w:highlight w:val="none"/>
          <w:lang w:val="en-US" w:eastAsia="zh-CN"/>
        </w:rPr>
        <w:t>成果文件提交时限</w:t>
      </w:r>
    </w:p>
    <w:p w14:paraId="3F82460B">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cs="宋体" w:asciiTheme="minorHAnsi" w:hAnsiTheme="minorHAnsi" w:eastAsiaTheme="minorEastAsia"/>
          <w:b w:val="0"/>
          <w:bCs w:val="0"/>
          <w:sz w:val="30"/>
          <w:szCs w:val="30"/>
          <w:highlight w:val="none"/>
          <w:lang w:val="en-US" w:eastAsia="zh-CN"/>
        </w:rPr>
      </w:pPr>
    </w:p>
    <w:tbl>
      <w:tblPr>
        <w:tblStyle w:val="8"/>
        <w:tblW w:w="10875" w:type="dxa"/>
        <w:tblInd w:w="-10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750"/>
        <w:gridCol w:w="2175"/>
        <w:gridCol w:w="2013"/>
        <w:gridCol w:w="1787"/>
        <w:gridCol w:w="1450"/>
      </w:tblGrid>
      <w:tr w14:paraId="43C4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0" w:type="dxa"/>
            <w:vAlign w:val="center"/>
          </w:tcPr>
          <w:p w14:paraId="013106E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序号</w:t>
            </w:r>
          </w:p>
        </w:tc>
        <w:tc>
          <w:tcPr>
            <w:tcW w:w="2750" w:type="dxa"/>
            <w:vAlign w:val="center"/>
          </w:tcPr>
          <w:p w14:paraId="78396BE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工程造价</w:t>
            </w:r>
          </w:p>
        </w:tc>
        <w:tc>
          <w:tcPr>
            <w:tcW w:w="2175" w:type="dxa"/>
            <w:vAlign w:val="center"/>
          </w:tcPr>
          <w:p w14:paraId="2995F80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工程预算、招标控制价（含工程量清单）编制（日历天）</w:t>
            </w:r>
          </w:p>
        </w:tc>
        <w:tc>
          <w:tcPr>
            <w:tcW w:w="2013" w:type="dxa"/>
            <w:vAlign w:val="center"/>
          </w:tcPr>
          <w:p w14:paraId="193DBC4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工程预算、招标控制价（含工程量清单）审核（日历天）</w:t>
            </w:r>
          </w:p>
        </w:tc>
        <w:tc>
          <w:tcPr>
            <w:tcW w:w="1787" w:type="dxa"/>
            <w:vAlign w:val="center"/>
          </w:tcPr>
          <w:p w14:paraId="650BE5E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施工过程跟踪审核（进度款、工程变更价款等）（日历天）</w:t>
            </w:r>
          </w:p>
        </w:tc>
        <w:tc>
          <w:tcPr>
            <w:tcW w:w="1450" w:type="dxa"/>
            <w:vAlign w:val="center"/>
          </w:tcPr>
          <w:p w14:paraId="1A05BAE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竣工结算审核（日历天）</w:t>
            </w:r>
          </w:p>
        </w:tc>
      </w:tr>
      <w:tr w14:paraId="66FD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0" w:type="dxa"/>
            <w:vAlign w:val="center"/>
          </w:tcPr>
          <w:p w14:paraId="6294626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w:t>
            </w:r>
          </w:p>
        </w:tc>
        <w:tc>
          <w:tcPr>
            <w:tcW w:w="2750" w:type="dxa"/>
            <w:vAlign w:val="center"/>
          </w:tcPr>
          <w:p w14:paraId="78D1D46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100万元及以下（含）</w:t>
            </w:r>
          </w:p>
        </w:tc>
        <w:tc>
          <w:tcPr>
            <w:tcW w:w="2175" w:type="dxa"/>
            <w:vAlign w:val="center"/>
          </w:tcPr>
          <w:p w14:paraId="25E95C8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2013" w:type="dxa"/>
            <w:vAlign w:val="center"/>
          </w:tcPr>
          <w:p w14:paraId="7066BFE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1787" w:type="dxa"/>
            <w:vAlign w:val="center"/>
          </w:tcPr>
          <w:p w14:paraId="19EC90A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1450" w:type="dxa"/>
            <w:vAlign w:val="center"/>
          </w:tcPr>
          <w:p w14:paraId="262983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r>
      <w:tr w14:paraId="0F88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0" w:type="dxa"/>
            <w:vAlign w:val="center"/>
          </w:tcPr>
          <w:p w14:paraId="5AB18CA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2</w:t>
            </w:r>
          </w:p>
        </w:tc>
        <w:tc>
          <w:tcPr>
            <w:tcW w:w="2750" w:type="dxa"/>
            <w:vAlign w:val="center"/>
          </w:tcPr>
          <w:p w14:paraId="2D8E961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100（含）-400万元（不含）</w:t>
            </w:r>
          </w:p>
        </w:tc>
        <w:tc>
          <w:tcPr>
            <w:tcW w:w="2175" w:type="dxa"/>
            <w:vAlign w:val="center"/>
          </w:tcPr>
          <w:p w14:paraId="059B0E8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2013" w:type="dxa"/>
            <w:vAlign w:val="center"/>
          </w:tcPr>
          <w:p w14:paraId="049E429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1787" w:type="dxa"/>
            <w:vAlign w:val="center"/>
          </w:tcPr>
          <w:p w14:paraId="768081E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1450" w:type="dxa"/>
            <w:vAlign w:val="center"/>
          </w:tcPr>
          <w:p w14:paraId="3A47DD3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r>
      <w:tr w14:paraId="1531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0" w:type="dxa"/>
            <w:vAlign w:val="center"/>
          </w:tcPr>
          <w:p w14:paraId="1B992BC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3</w:t>
            </w:r>
          </w:p>
        </w:tc>
        <w:tc>
          <w:tcPr>
            <w:tcW w:w="2750" w:type="dxa"/>
            <w:vAlign w:val="center"/>
          </w:tcPr>
          <w:p w14:paraId="29A6F52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400（含）-2000万元（不含）</w:t>
            </w:r>
          </w:p>
        </w:tc>
        <w:tc>
          <w:tcPr>
            <w:tcW w:w="2175" w:type="dxa"/>
            <w:vAlign w:val="center"/>
          </w:tcPr>
          <w:p w14:paraId="2C1CAD3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2013" w:type="dxa"/>
            <w:vAlign w:val="center"/>
          </w:tcPr>
          <w:p w14:paraId="7495224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1787" w:type="dxa"/>
            <w:vAlign w:val="center"/>
          </w:tcPr>
          <w:p w14:paraId="72367B3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1450" w:type="dxa"/>
            <w:vAlign w:val="center"/>
          </w:tcPr>
          <w:p w14:paraId="0553DE9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r>
      <w:tr w14:paraId="634E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0" w:type="dxa"/>
            <w:vAlign w:val="center"/>
          </w:tcPr>
          <w:p w14:paraId="30990D5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4</w:t>
            </w:r>
          </w:p>
        </w:tc>
        <w:tc>
          <w:tcPr>
            <w:tcW w:w="2750" w:type="dxa"/>
            <w:vAlign w:val="center"/>
          </w:tcPr>
          <w:p w14:paraId="7BC4D85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2000万元以上（含）</w:t>
            </w:r>
          </w:p>
        </w:tc>
        <w:tc>
          <w:tcPr>
            <w:tcW w:w="2175" w:type="dxa"/>
            <w:vAlign w:val="center"/>
          </w:tcPr>
          <w:p w14:paraId="08DB86A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2013" w:type="dxa"/>
            <w:vAlign w:val="center"/>
          </w:tcPr>
          <w:p w14:paraId="5340D86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1787" w:type="dxa"/>
            <w:vAlign w:val="center"/>
          </w:tcPr>
          <w:p w14:paraId="2239C86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c>
          <w:tcPr>
            <w:tcW w:w="1450" w:type="dxa"/>
            <w:vAlign w:val="center"/>
          </w:tcPr>
          <w:p w14:paraId="1D42245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r>
    </w:tbl>
    <w:p w14:paraId="6FCFCC82">
      <w:pPr>
        <w:spacing w:line="560" w:lineRule="exact"/>
        <w:rPr>
          <w:rFonts w:hint="eastAsia" w:ascii="仿宋_GB2312" w:hAnsi="仿宋_GB2312" w:eastAsia="仿宋_GB2312" w:cs="仿宋_GB2312"/>
          <w:b w:val="0"/>
          <w:bCs w:val="0"/>
          <w:color w:val="FF0000"/>
          <w:sz w:val="21"/>
          <w:szCs w:val="21"/>
          <w:highlight w:val="none"/>
          <w:lang w:val="en-US" w:eastAsia="zh-CN"/>
        </w:rPr>
      </w:pPr>
      <w:r>
        <w:rPr>
          <w:rFonts w:hint="eastAsia" w:ascii="仿宋_GB2312" w:hAnsi="仿宋_GB2312" w:eastAsia="仿宋_GB2312" w:cs="仿宋_GB2312"/>
          <w:b w:val="0"/>
          <w:bCs w:val="0"/>
          <w:color w:val="FF0000"/>
          <w:sz w:val="21"/>
          <w:szCs w:val="21"/>
          <w:highlight w:val="none"/>
          <w:lang w:val="en-US" w:eastAsia="zh-CN"/>
        </w:rPr>
        <w:t>备注：按以上工程造价区间进行固定天数的填报，时间自接到采购人委托成交人项目时间起算，</w:t>
      </w:r>
      <w:r>
        <w:rPr>
          <w:rFonts w:hint="eastAsia" w:ascii="仿宋_GB2312" w:hAnsi="仿宋_GB2312" w:eastAsia="仿宋_GB2312" w:cs="仿宋_GB2312"/>
          <w:b w:val="0"/>
          <w:bCs w:val="0"/>
          <w:color w:val="FF0000"/>
          <w:sz w:val="21"/>
          <w:szCs w:val="21"/>
          <w:highlight w:val="none"/>
          <w:vertAlign w:val="baseline"/>
          <w:lang w:val="en-US" w:eastAsia="zh-CN"/>
        </w:rPr>
        <w:t>100万元及以下（含）</w:t>
      </w:r>
      <w:r>
        <w:rPr>
          <w:rFonts w:hint="eastAsia" w:ascii="仿宋_GB2312" w:hAnsi="仿宋_GB2312" w:eastAsia="仿宋_GB2312" w:cs="仿宋_GB2312"/>
          <w:b w:val="0"/>
          <w:bCs w:val="0"/>
          <w:color w:val="FF0000"/>
          <w:sz w:val="21"/>
          <w:szCs w:val="21"/>
          <w:highlight w:val="none"/>
          <w:lang w:val="en-US" w:eastAsia="zh-CN"/>
        </w:rPr>
        <w:t>最长不超过7</w:t>
      </w:r>
      <w:r>
        <w:rPr>
          <w:rFonts w:hint="eastAsia" w:ascii="仿宋_GB2312" w:hAnsi="仿宋_GB2312" w:eastAsia="仿宋_GB2312" w:cs="仿宋_GB2312"/>
          <w:b w:val="0"/>
          <w:bCs w:val="0"/>
          <w:color w:val="FF0000"/>
          <w:sz w:val="21"/>
          <w:szCs w:val="21"/>
          <w:highlight w:val="none"/>
          <w:vertAlign w:val="baseline"/>
          <w:lang w:val="en-US" w:eastAsia="zh-CN"/>
        </w:rPr>
        <w:t>日历</w:t>
      </w:r>
      <w:r>
        <w:rPr>
          <w:rFonts w:hint="eastAsia" w:ascii="仿宋_GB2312" w:hAnsi="仿宋_GB2312" w:eastAsia="仿宋_GB2312" w:cs="仿宋_GB2312"/>
          <w:b w:val="0"/>
          <w:bCs w:val="0"/>
          <w:color w:val="FF0000"/>
          <w:sz w:val="21"/>
          <w:szCs w:val="21"/>
          <w:highlight w:val="none"/>
          <w:lang w:val="en-US" w:eastAsia="zh-CN"/>
        </w:rPr>
        <w:t>天，</w:t>
      </w:r>
      <w:r>
        <w:rPr>
          <w:rFonts w:hint="eastAsia" w:ascii="仿宋_GB2312" w:hAnsi="仿宋_GB2312" w:eastAsia="仿宋_GB2312" w:cs="仿宋_GB2312"/>
          <w:b w:val="0"/>
          <w:bCs w:val="0"/>
          <w:color w:val="FF0000"/>
          <w:sz w:val="21"/>
          <w:szCs w:val="21"/>
          <w:highlight w:val="none"/>
          <w:vertAlign w:val="baseline"/>
          <w:lang w:val="en-US" w:eastAsia="zh-CN"/>
        </w:rPr>
        <w:t>100（含）-400万元（不含）</w:t>
      </w:r>
      <w:r>
        <w:rPr>
          <w:rFonts w:hint="eastAsia" w:ascii="仿宋_GB2312" w:hAnsi="仿宋_GB2312" w:eastAsia="仿宋_GB2312" w:cs="仿宋_GB2312"/>
          <w:b w:val="0"/>
          <w:bCs w:val="0"/>
          <w:color w:val="FF0000"/>
          <w:sz w:val="21"/>
          <w:szCs w:val="21"/>
          <w:highlight w:val="none"/>
          <w:lang w:val="en-US" w:eastAsia="zh-CN"/>
        </w:rPr>
        <w:t>最长不超过10</w:t>
      </w:r>
      <w:r>
        <w:rPr>
          <w:rFonts w:hint="eastAsia" w:ascii="仿宋_GB2312" w:hAnsi="仿宋_GB2312" w:eastAsia="仿宋_GB2312" w:cs="仿宋_GB2312"/>
          <w:b w:val="0"/>
          <w:bCs w:val="0"/>
          <w:color w:val="FF0000"/>
          <w:sz w:val="21"/>
          <w:szCs w:val="21"/>
          <w:highlight w:val="none"/>
          <w:vertAlign w:val="baseline"/>
          <w:lang w:val="en-US" w:eastAsia="zh-CN"/>
        </w:rPr>
        <w:t>日历</w:t>
      </w:r>
      <w:r>
        <w:rPr>
          <w:rFonts w:hint="eastAsia" w:ascii="仿宋_GB2312" w:hAnsi="仿宋_GB2312" w:eastAsia="仿宋_GB2312" w:cs="仿宋_GB2312"/>
          <w:b w:val="0"/>
          <w:bCs w:val="0"/>
          <w:color w:val="FF0000"/>
          <w:sz w:val="21"/>
          <w:szCs w:val="21"/>
          <w:highlight w:val="none"/>
          <w:lang w:val="en-US" w:eastAsia="zh-CN"/>
        </w:rPr>
        <w:t>天，</w:t>
      </w:r>
      <w:r>
        <w:rPr>
          <w:rFonts w:hint="eastAsia" w:ascii="仿宋_GB2312" w:hAnsi="仿宋_GB2312" w:eastAsia="仿宋_GB2312" w:cs="仿宋_GB2312"/>
          <w:b w:val="0"/>
          <w:bCs w:val="0"/>
          <w:color w:val="FF0000"/>
          <w:sz w:val="21"/>
          <w:szCs w:val="21"/>
          <w:highlight w:val="none"/>
          <w:vertAlign w:val="baseline"/>
          <w:lang w:val="en-US" w:eastAsia="zh-CN"/>
        </w:rPr>
        <w:t>400（含）-2000万元（不含）</w:t>
      </w:r>
      <w:r>
        <w:rPr>
          <w:rFonts w:hint="eastAsia" w:ascii="仿宋_GB2312" w:hAnsi="仿宋_GB2312" w:eastAsia="仿宋_GB2312" w:cs="仿宋_GB2312"/>
          <w:b w:val="0"/>
          <w:bCs w:val="0"/>
          <w:color w:val="FF0000"/>
          <w:sz w:val="21"/>
          <w:szCs w:val="21"/>
          <w:highlight w:val="none"/>
          <w:lang w:val="en-US" w:eastAsia="zh-CN"/>
        </w:rPr>
        <w:t>最长不超过15</w:t>
      </w:r>
      <w:r>
        <w:rPr>
          <w:rFonts w:hint="eastAsia" w:ascii="仿宋_GB2312" w:hAnsi="仿宋_GB2312" w:eastAsia="仿宋_GB2312" w:cs="仿宋_GB2312"/>
          <w:b w:val="0"/>
          <w:bCs w:val="0"/>
          <w:color w:val="FF0000"/>
          <w:sz w:val="21"/>
          <w:szCs w:val="21"/>
          <w:highlight w:val="none"/>
          <w:vertAlign w:val="baseline"/>
          <w:lang w:val="en-US" w:eastAsia="zh-CN"/>
        </w:rPr>
        <w:t>日历</w:t>
      </w:r>
      <w:r>
        <w:rPr>
          <w:rFonts w:hint="eastAsia" w:ascii="仿宋_GB2312" w:hAnsi="仿宋_GB2312" w:eastAsia="仿宋_GB2312" w:cs="仿宋_GB2312"/>
          <w:b w:val="0"/>
          <w:bCs w:val="0"/>
          <w:color w:val="FF0000"/>
          <w:sz w:val="21"/>
          <w:szCs w:val="21"/>
          <w:highlight w:val="none"/>
          <w:lang w:val="en-US" w:eastAsia="zh-CN"/>
        </w:rPr>
        <w:t>天，</w:t>
      </w:r>
      <w:r>
        <w:rPr>
          <w:rFonts w:hint="eastAsia" w:ascii="仿宋_GB2312" w:hAnsi="仿宋_GB2312" w:eastAsia="仿宋_GB2312" w:cs="仿宋_GB2312"/>
          <w:b w:val="0"/>
          <w:bCs w:val="0"/>
          <w:color w:val="FF0000"/>
          <w:sz w:val="21"/>
          <w:szCs w:val="21"/>
          <w:highlight w:val="none"/>
          <w:vertAlign w:val="baseline"/>
          <w:lang w:val="en-US" w:eastAsia="zh-CN"/>
        </w:rPr>
        <w:t>2000万元以上（含）</w:t>
      </w:r>
      <w:r>
        <w:rPr>
          <w:rFonts w:hint="eastAsia" w:ascii="仿宋_GB2312" w:hAnsi="仿宋_GB2312" w:eastAsia="仿宋_GB2312" w:cs="仿宋_GB2312"/>
          <w:b w:val="0"/>
          <w:bCs w:val="0"/>
          <w:color w:val="FF0000"/>
          <w:sz w:val="21"/>
          <w:szCs w:val="21"/>
          <w:highlight w:val="none"/>
          <w:lang w:val="en-US" w:eastAsia="zh-CN"/>
        </w:rPr>
        <w:t>最长不超过20</w:t>
      </w:r>
      <w:r>
        <w:rPr>
          <w:rFonts w:hint="eastAsia" w:ascii="仿宋_GB2312" w:hAnsi="仿宋_GB2312" w:eastAsia="仿宋_GB2312" w:cs="仿宋_GB2312"/>
          <w:b w:val="0"/>
          <w:bCs w:val="0"/>
          <w:color w:val="FF0000"/>
          <w:sz w:val="21"/>
          <w:szCs w:val="21"/>
          <w:highlight w:val="none"/>
          <w:vertAlign w:val="baseline"/>
          <w:lang w:val="en-US" w:eastAsia="zh-CN"/>
        </w:rPr>
        <w:t>日历</w:t>
      </w:r>
      <w:r>
        <w:rPr>
          <w:rFonts w:hint="eastAsia" w:ascii="仿宋_GB2312" w:hAnsi="仿宋_GB2312" w:eastAsia="仿宋_GB2312" w:cs="仿宋_GB2312"/>
          <w:b w:val="0"/>
          <w:bCs w:val="0"/>
          <w:color w:val="FF0000"/>
          <w:sz w:val="21"/>
          <w:szCs w:val="21"/>
          <w:highlight w:val="none"/>
          <w:lang w:val="en-US" w:eastAsia="zh-CN"/>
        </w:rPr>
        <w:t>天。</w:t>
      </w:r>
    </w:p>
    <w:p w14:paraId="1611D2A5">
      <w:pPr>
        <w:spacing w:line="560" w:lineRule="exact"/>
        <w:rPr>
          <w:rFonts w:hint="eastAsia" w:ascii="仿宋_GB2312" w:hAnsi="仿宋_GB2312" w:eastAsia="仿宋_GB2312" w:cs="仿宋_GB2312"/>
          <w:b w:val="0"/>
          <w:bCs w:val="0"/>
          <w:color w:val="FF0000"/>
          <w:sz w:val="21"/>
          <w:szCs w:val="21"/>
          <w:highlight w:val="none"/>
          <w:lang w:val="en-US" w:eastAsia="zh-CN"/>
        </w:rPr>
      </w:pPr>
    </w:p>
    <w:p w14:paraId="412F888C">
      <w:pPr>
        <w:spacing w:line="560" w:lineRule="exact"/>
        <w:rPr>
          <w:rFonts w:hint="eastAsia" w:ascii="仿宋_GB2312" w:hAnsi="仿宋_GB2312" w:eastAsia="仿宋_GB2312" w:cs="仿宋_GB2312"/>
          <w:b w:val="0"/>
          <w:bCs w:val="0"/>
          <w:color w:val="FF0000"/>
          <w:sz w:val="21"/>
          <w:szCs w:val="21"/>
          <w:highlight w:val="none"/>
          <w:lang w:val="en-US" w:eastAsia="zh-CN"/>
        </w:rPr>
      </w:pPr>
    </w:p>
    <w:p w14:paraId="15CBF49B">
      <w:pPr>
        <w:spacing w:line="560" w:lineRule="exact"/>
        <w:rPr>
          <w:spacing w:val="20"/>
          <w:szCs w:val="21"/>
          <w:highlight w:val="none"/>
          <w:u w:val="single"/>
        </w:rPr>
      </w:pPr>
      <w:r>
        <w:rPr>
          <w:szCs w:val="21"/>
          <w:highlight w:val="none"/>
        </w:rPr>
        <w:t>法定代表人或授权代表（签名或盖章）</w:t>
      </w:r>
      <w:r>
        <w:rPr>
          <w:spacing w:val="20"/>
          <w:szCs w:val="21"/>
          <w:highlight w:val="none"/>
        </w:rPr>
        <w:t>：</w:t>
      </w:r>
      <w:r>
        <w:rPr>
          <w:spacing w:val="20"/>
          <w:szCs w:val="21"/>
          <w:highlight w:val="none"/>
          <w:u w:val="single"/>
        </w:rPr>
        <w:t xml:space="preserve">                     </w:t>
      </w:r>
    </w:p>
    <w:p w14:paraId="4F88E097">
      <w:pPr>
        <w:spacing w:line="560" w:lineRule="exact"/>
        <w:rPr>
          <w:szCs w:val="21"/>
          <w:highlight w:val="none"/>
        </w:rPr>
      </w:pPr>
      <w:r>
        <w:rPr>
          <w:szCs w:val="21"/>
          <w:highlight w:val="none"/>
        </w:rPr>
        <w:t>供应商名称（公章）：</w:t>
      </w:r>
      <w:r>
        <w:rPr>
          <w:szCs w:val="21"/>
          <w:highlight w:val="none"/>
          <w:u w:val="single"/>
        </w:rPr>
        <w:t xml:space="preserve">                          </w:t>
      </w:r>
    </w:p>
    <w:p w14:paraId="4682C4AC">
      <w:pPr>
        <w:spacing w:line="560" w:lineRule="exact"/>
        <w:rPr>
          <w:rFonts w:ascii="Arial" w:hAnsi="Arial" w:cs="Arial"/>
          <w:szCs w:val="21"/>
          <w:highlight w:val="none"/>
        </w:rPr>
      </w:pPr>
      <w:r>
        <w:rPr>
          <w:rFonts w:ascii="Arial" w:hAnsi="Arial" w:cs="Arial"/>
          <w:szCs w:val="21"/>
          <w:highlight w:val="none"/>
        </w:rPr>
        <w:t>日期：     年    月    日</w:t>
      </w:r>
    </w:p>
    <w:p w14:paraId="5E8EBFD6">
      <w:pPr>
        <w:pStyle w:val="11"/>
        <w:ind w:firstLine="0" w:firstLineChars="0"/>
        <w:rPr>
          <w:rFonts w:hint="default"/>
          <w:color w:val="FF0000"/>
          <w:sz w:val="21"/>
          <w:szCs w:val="21"/>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1E684CCB">
      <w:pPr>
        <w:tabs>
          <w:tab w:val="left" w:pos="7081"/>
        </w:tabs>
        <w:bidi w:val="0"/>
        <w:ind w:firstLine="0" w:firstLineChars="0"/>
        <w:jc w:val="left"/>
        <w:rPr>
          <w:rFonts w:hint="eastAsia" w:cs="宋体" w:asciiTheme="minorHAnsi" w:hAnsiTheme="minorHAnsi" w:eastAsiaTheme="minorEastAsia"/>
          <w:i w:val="0"/>
          <w:iCs w:val="0"/>
          <w:caps w:val="0"/>
          <w:spacing w:val="0"/>
          <w:kern w:val="2"/>
          <w:sz w:val="21"/>
          <w:szCs w:val="21"/>
          <w:highlight w:val="none"/>
          <w:shd w:val="clear"/>
          <w:lang w:val="en-US" w:eastAsia="zh-CN" w:bidi="ar-SA"/>
        </w:rPr>
      </w:pPr>
      <w:r>
        <w:rPr>
          <w:rFonts w:hint="eastAsia" w:cs="宋体" w:asciiTheme="minorHAnsi" w:hAnsiTheme="minorHAnsi" w:eastAsiaTheme="minorEastAsia"/>
          <w:i w:val="0"/>
          <w:iCs w:val="0"/>
          <w:caps w:val="0"/>
          <w:color w:val="auto"/>
          <w:spacing w:val="0"/>
          <w:kern w:val="2"/>
          <w:sz w:val="21"/>
          <w:szCs w:val="21"/>
          <w:highlight w:val="none"/>
          <w:shd w:val="clear" w:color="auto" w:fill="auto"/>
          <w:lang w:val="en-US" w:eastAsia="zh-CN" w:bidi="ar-SA"/>
        </w:rPr>
        <w:t>附件</w:t>
      </w:r>
      <w:r>
        <w:rPr>
          <w:rFonts w:hint="eastAsia" w:cs="宋体"/>
          <w:i w:val="0"/>
          <w:iCs w:val="0"/>
          <w:caps w:val="0"/>
          <w:spacing w:val="0"/>
          <w:kern w:val="2"/>
          <w:sz w:val="21"/>
          <w:szCs w:val="21"/>
          <w:highlight w:val="none"/>
          <w:shd w:val="clear"/>
          <w:lang w:val="en-US" w:eastAsia="zh-CN" w:bidi="ar-SA"/>
        </w:rPr>
        <w:t>3</w:t>
      </w:r>
    </w:p>
    <w:p w14:paraId="243924E4">
      <w:pPr>
        <w:pStyle w:val="11"/>
        <w:bidi w:val="0"/>
        <w:ind w:firstLine="0" w:firstLineChars="0"/>
        <w:jc w:val="left"/>
        <w:rPr>
          <w:rFonts w:hint="default" w:cs="宋体" w:asciiTheme="minorHAnsi" w:hAnsiTheme="minorHAnsi" w:eastAsiaTheme="minorEastAsia"/>
          <w:i w:val="0"/>
          <w:iCs w:val="0"/>
          <w:caps w:val="0"/>
          <w:spacing w:val="0"/>
          <w:kern w:val="2"/>
          <w:sz w:val="24"/>
          <w:szCs w:val="24"/>
          <w:highlight w:val="none"/>
          <w:shd w:val="clear"/>
          <w:lang w:val="en-US" w:eastAsia="zh-CN" w:bidi="ar-SA"/>
        </w:rPr>
      </w:pPr>
    </w:p>
    <w:p w14:paraId="68A69FD4">
      <w:pPr>
        <w:pStyle w:val="11"/>
        <w:spacing w:line="500" w:lineRule="exact"/>
        <w:ind w:firstLine="0" w:firstLineChars="0"/>
        <w:jc w:val="center"/>
        <w:rPr>
          <w:rFonts w:hint="eastAsia" w:cs="宋体" w:asciiTheme="minorHAnsi" w:hAnsiTheme="minorHAnsi"/>
          <w:b/>
          <w:bCs/>
          <w:color w:val="auto"/>
          <w:sz w:val="36"/>
          <w:szCs w:val="36"/>
          <w:highlight w:val="none"/>
        </w:rPr>
      </w:pPr>
      <w:r>
        <w:rPr>
          <w:rFonts w:hint="eastAsia" w:cs="宋体" w:asciiTheme="minorHAnsi" w:hAnsiTheme="minorHAnsi" w:eastAsiaTheme="minorEastAsia"/>
          <w:b/>
          <w:bCs/>
          <w:color w:val="auto"/>
          <w:sz w:val="36"/>
          <w:szCs w:val="36"/>
          <w:highlight w:val="none"/>
          <w:lang w:val="en-US" w:eastAsia="zh-CN"/>
        </w:rPr>
        <w:t>项目需求符合情况</w:t>
      </w:r>
      <w:r>
        <w:rPr>
          <w:rFonts w:hint="eastAsia" w:cs="宋体"/>
          <w:b/>
          <w:bCs/>
          <w:sz w:val="36"/>
          <w:szCs w:val="36"/>
          <w:highlight w:val="none"/>
          <w:lang w:val="en-US" w:eastAsia="zh-CN"/>
        </w:rPr>
        <w:t>调研</w:t>
      </w:r>
      <w:r>
        <w:rPr>
          <w:rFonts w:hint="eastAsia" w:cs="宋体" w:asciiTheme="minorHAnsi" w:hAnsiTheme="minorHAnsi"/>
          <w:b/>
          <w:bCs/>
          <w:color w:val="auto"/>
          <w:sz w:val="36"/>
          <w:szCs w:val="36"/>
          <w:highlight w:val="none"/>
        </w:rPr>
        <w:t>表</w:t>
      </w:r>
    </w:p>
    <w:tbl>
      <w:tblPr>
        <w:tblStyle w:val="8"/>
        <w:tblpPr w:leftFromText="180" w:rightFromText="180" w:vertAnchor="text" w:horzAnchor="page" w:tblpX="778" w:tblpY="492"/>
        <w:tblOverlap w:val="never"/>
        <w:tblW w:w="10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750"/>
        <w:gridCol w:w="3750"/>
        <w:gridCol w:w="1377"/>
        <w:gridCol w:w="1200"/>
      </w:tblGrid>
      <w:tr w14:paraId="7624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682" w:type="dxa"/>
            <w:noWrap w:val="0"/>
            <w:vAlign w:val="center"/>
          </w:tcPr>
          <w:p w14:paraId="2DC96D65">
            <w:pPr>
              <w:jc w:val="center"/>
              <w:rPr>
                <w:rFonts w:hint="eastAsia" w:ascii="宋体" w:hAnsi="宋体" w:cs="宋体"/>
                <w:color w:val="auto"/>
                <w:szCs w:val="21"/>
                <w:highlight w:val="none"/>
              </w:rPr>
            </w:pPr>
            <w:bookmarkStart w:id="0" w:name="_Toc173211900"/>
            <w:bookmarkStart w:id="1" w:name="_Toc173066401"/>
            <w:bookmarkStart w:id="2" w:name="_Toc254970729"/>
            <w:bookmarkStart w:id="3" w:name="_Toc254970588"/>
            <w:r>
              <w:rPr>
                <w:rFonts w:hint="eastAsia" w:ascii="宋体" w:hAnsi="宋体" w:cs="宋体"/>
                <w:color w:val="auto"/>
                <w:szCs w:val="21"/>
                <w:highlight w:val="none"/>
              </w:rPr>
              <w:t>序号</w:t>
            </w:r>
            <w:bookmarkEnd w:id="0"/>
            <w:bookmarkEnd w:id="1"/>
            <w:bookmarkEnd w:id="2"/>
            <w:bookmarkEnd w:id="3"/>
          </w:p>
        </w:tc>
        <w:tc>
          <w:tcPr>
            <w:tcW w:w="3750" w:type="dxa"/>
            <w:noWrap w:val="0"/>
            <w:vAlign w:val="center"/>
          </w:tcPr>
          <w:p w14:paraId="113EA1F0">
            <w:pPr>
              <w:jc w:val="center"/>
              <w:rPr>
                <w:rFonts w:hint="eastAsia" w:ascii="宋体" w:hAnsi="宋体" w:cs="宋体"/>
                <w:color w:val="auto"/>
                <w:szCs w:val="21"/>
                <w:highlight w:val="none"/>
              </w:rPr>
            </w:pPr>
            <w:bookmarkStart w:id="4" w:name="_Toc173211901"/>
            <w:bookmarkStart w:id="5" w:name="_Toc254970589"/>
            <w:bookmarkStart w:id="6" w:name="_Toc173066402"/>
            <w:bookmarkStart w:id="7" w:name="_Toc254970730"/>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要求</w:t>
            </w:r>
            <w:bookmarkEnd w:id="4"/>
            <w:bookmarkEnd w:id="5"/>
            <w:bookmarkEnd w:id="6"/>
            <w:bookmarkEnd w:id="7"/>
          </w:p>
        </w:tc>
        <w:tc>
          <w:tcPr>
            <w:tcW w:w="3750" w:type="dxa"/>
            <w:noWrap w:val="0"/>
            <w:vAlign w:val="center"/>
          </w:tcPr>
          <w:p w14:paraId="79F89363">
            <w:pPr>
              <w:jc w:val="center"/>
              <w:rPr>
                <w:rFonts w:hint="eastAsia" w:ascii="宋体" w:hAnsi="宋体" w:cs="宋体"/>
                <w:color w:val="auto"/>
                <w:szCs w:val="21"/>
                <w:highlight w:val="none"/>
              </w:rPr>
            </w:pPr>
            <w:bookmarkStart w:id="8" w:name="_Toc173066403"/>
            <w:bookmarkStart w:id="9" w:name="_Toc254970731"/>
            <w:bookmarkStart w:id="10" w:name="_Toc173211902"/>
            <w:bookmarkStart w:id="11" w:name="_Toc254970590"/>
            <w:r>
              <w:rPr>
                <w:rFonts w:hint="eastAsia" w:ascii="宋体" w:hAnsi="宋体" w:cs="宋体"/>
                <w:color w:val="auto"/>
                <w:szCs w:val="21"/>
                <w:highlight w:val="none"/>
              </w:rPr>
              <w:t>具体响应</w:t>
            </w:r>
            <w:bookmarkEnd w:id="8"/>
            <w:bookmarkEnd w:id="9"/>
            <w:bookmarkEnd w:id="10"/>
            <w:bookmarkEnd w:id="11"/>
          </w:p>
        </w:tc>
        <w:tc>
          <w:tcPr>
            <w:tcW w:w="1377" w:type="dxa"/>
            <w:noWrap w:val="0"/>
            <w:vAlign w:val="center"/>
          </w:tcPr>
          <w:p w14:paraId="4690B459">
            <w:pPr>
              <w:ind w:left="0" w:leftChars="0" w:firstLine="0" w:firstLineChars="0"/>
              <w:jc w:val="center"/>
              <w:rPr>
                <w:rFonts w:hint="eastAsia" w:ascii="宋体" w:hAnsi="宋体" w:cs="宋体"/>
                <w:color w:val="auto"/>
                <w:szCs w:val="21"/>
                <w:highlight w:val="none"/>
              </w:rPr>
            </w:pPr>
            <w:bookmarkStart w:id="12" w:name="_Toc254970732"/>
            <w:bookmarkStart w:id="13" w:name="_Toc254970591"/>
            <w:bookmarkStart w:id="14" w:name="_Toc173211903"/>
            <w:bookmarkStart w:id="15" w:name="_Toc173066404"/>
            <w:r>
              <w:rPr>
                <w:rFonts w:hint="eastAsia" w:ascii="宋体" w:hAnsi="宋体" w:cs="宋体"/>
                <w:color w:val="auto"/>
                <w:szCs w:val="21"/>
                <w:highlight w:val="none"/>
              </w:rPr>
              <w:t>响应/偏离</w:t>
            </w:r>
            <w:bookmarkEnd w:id="12"/>
            <w:bookmarkEnd w:id="13"/>
            <w:bookmarkEnd w:id="14"/>
            <w:bookmarkEnd w:id="15"/>
          </w:p>
        </w:tc>
        <w:tc>
          <w:tcPr>
            <w:tcW w:w="1200" w:type="dxa"/>
            <w:noWrap w:val="0"/>
            <w:vAlign w:val="center"/>
          </w:tcPr>
          <w:p w14:paraId="2C8D3FD7">
            <w:pPr>
              <w:jc w:val="center"/>
              <w:rPr>
                <w:rFonts w:hint="eastAsia" w:ascii="宋体" w:hAnsi="宋体" w:cs="宋体"/>
                <w:color w:val="auto"/>
                <w:szCs w:val="21"/>
                <w:highlight w:val="none"/>
              </w:rPr>
            </w:pPr>
            <w:bookmarkStart w:id="16" w:name="_Toc173066405"/>
            <w:bookmarkStart w:id="17" w:name="_Toc254970592"/>
            <w:bookmarkStart w:id="18" w:name="_Toc254970733"/>
            <w:bookmarkStart w:id="19" w:name="_Toc173211904"/>
            <w:r>
              <w:rPr>
                <w:rFonts w:hint="eastAsia" w:ascii="宋体" w:hAnsi="宋体" w:cs="宋体"/>
                <w:color w:val="auto"/>
                <w:szCs w:val="21"/>
                <w:highlight w:val="none"/>
              </w:rPr>
              <w:t>说明</w:t>
            </w:r>
            <w:bookmarkEnd w:id="16"/>
            <w:bookmarkEnd w:id="17"/>
            <w:bookmarkEnd w:id="18"/>
            <w:bookmarkEnd w:id="19"/>
          </w:p>
        </w:tc>
      </w:tr>
      <w:tr w14:paraId="6D62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noWrap w:val="0"/>
            <w:vAlign w:val="center"/>
          </w:tcPr>
          <w:p w14:paraId="3FCCE8B2">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1</w:t>
            </w:r>
          </w:p>
        </w:tc>
        <w:tc>
          <w:tcPr>
            <w:tcW w:w="3750" w:type="dxa"/>
            <w:noWrap w:val="0"/>
            <w:vAlign w:val="center"/>
          </w:tcPr>
          <w:p w14:paraId="167601F4">
            <w:pPr>
              <w:spacing w:line="360" w:lineRule="exact"/>
              <w:jc w:val="both"/>
              <w:rPr>
                <w:rFonts w:ascii="宋体" w:hAnsi="宋体"/>
                <w:color w:val="auto"/>
                <w:szCs w:val="21"/>
                <w:highlight w:val="none"/>
              </w:rPr>
            </w:pPr>
            <w:r>
              <w:rPr>
                <w:rFonts w:hint="eastAsia" w:ascii="宋体" w:hAnsi="宋体"/>
                <w:color w:val="auto"/>
                <w:kern w:val="2"/>
                <w:sz w:val="21"/>
                <w:szCs w:val="21"/>
                <w:highlight w:val="none"/>
              </w:rPr>
              <w:t>在南宁市有固定的营业场所及相关配套设施</w:t>
            </w:r>
            <w:r>
              <w:rPr>
                <w:rFonts w:hint="eastAsia" w:ascii="宋体" w:hAnsi="宋体"/>
                <w:color w:val="auto"/>
                <w:kern w:val="2"/>
                <w:sz w:val="21"/>
                <w:szCs w:val="21"/>
                <w:highlight w:val="none"/>
                <w:lang w:eastAsia="zh-CN"/>
              </w:rPr>
              <w:t>，</w:t>
            </w:r>
            <w:r>
              <w:rPr>
                <w:rFonts w:hint="eastAsia" w:ascii="宋体" w:hAnsi="宋体" w:eastAsia="宋体" w:cs="Times New Roman"/>
                <w:color w:val="auto"/>
                <w:kern w:val="2"/>
                <w:sz w:val="21"/>
                <w:szCs w:val="21"/>
                <w:highlight w:val="none"/>
                <w:lang w:val="en-US" w:eastAsia="zh-CN"/>
              </w:rPr>
              <w:t>注册地非南宁市的，应当在南宁市设有分支机构，有固定的办公场所、地址、固定联系电话，并配备相应的办公设备，常驻固定从业人员至少7名（含7名）。</w:t>
            </w:r>
          </w:p>
        </w:tc>
        <w:tc>
          <w:tcPr>
            <w:tcW w:w="3750" w:type="dxa"/>
            <w:noWrap w:val="0"/>
            <w:vAlign w:val="center"/>
          </w:tcPr>
          <w:p w14:paraId="215B03A0">
            <w:pPr>
              <w:rPr>
                <w:rFonts w:hint="eastAsia" w:ascii="宋体" w:hAnsi="宋体" w:cs="宋体"/>
                <w:color w:val="auto"/>
                <w:szCs w:val="21"/>
                <w:highlight w:val="none"/>
              </w:rPr>
            </w:pPr>
          </w:p>
        </w:tc>
        <w:tc>
          <w:tcPr>
            <w:tcW w:w="1377" w:type="dxa"/>
            <w:noWrap w:val="0"/>
            <w:vAlign w:val="center"/>
          </w:tcPr>
          <w:p w14:paraId="7D888D1B">
            <w:pPr>
              <w:jc w:val="center"/>
              <w:rPr>
                <w:rFonts w:hint="eastAsia" w:ascii="宋体" w:hAnsi="宋体" w:cs="宋体"/>
                <w:color w:val="auto"/>
                <w:szCs w:val="21"/>
                <w:highlight w:val="none"/>
              </w:rPr>
            </w:pPr>
          </w:p>
        </w:tc>
        <w:tc>
          <w:tcPr>
            <w:tcW w:w="1200" w:type="dxa"/>
            <w:noWrap w:val="0"/>
            <w:vAlign w:val="center"/>
          </w:tcPr>
          <w:p w14:paraId="47EC7C2B">
            <w:pPr>
              <w:jc w:val="center"/>
              <w:rPr>
                <w:rFonts w:hint="eastAsia" w:ascii="宋体" w:hAnsi="宋体" w:cs="宋体"/>
                <w:color w:val="auto"/>
                <w:szCs w:val="21"/>
                <w:highlight w:val="none"/>
              </w:rPr>
            </w:pPr>
          </w:p>
        </w:tc>
      </w:tr>
      <w:tr w14:paraId="02A4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vMerge w:val="restart"/>
            <w:noWrap w:val="0"/>
            <w:vAlign w:val="center"/>
          </w:tcPr>
          <w:p w14:paraId="43726348">
            <w:pPr>
              <w:jc w:val="center"/>
              <w:rPr>
                <w:rFonts w:hint="eastAsia" w:ascii="宋体" w:hAnsi="宋体" w:cs="宋体"/>
                <w:color w:val="auto"/>
                <w:szCs w:val="21"/>
                <w:highlight w:val="none"/>
              </w:rPr>
            </w:pPr>
            <w:bookmarkStart w:id="20" w:name="_Toc173066408"/>
            <w:bookmarkStart w:id="21" w:name="_Toc173211907"/>
            <w:bookmarkStart w:id="22" w:name="_Toc254970595"/>
            <w:bookmarkStart w:id="23" w:name="_Toc254970736"/>
            <w:r>
              <w:rPr>
                <w:rFonts w:hint="eastAsia" w:ascii="宋体" w:hAnsi="宋体" w:cs="宋体"/>
                <w:color w:val="auto"/>
                <w:szCs w:val="21"/>
                <w:highlight w:val="none"/>
                <w:lang w:val="en-US" w:eastAsia="zh-CN"/>
              </w:rPr>
              <w:t>2</w:t>
            </w:r>
            <w:bookmarkEnd w:id="20"/>
            <w:bookmarkEnd w:id="21"/>
            <w:bookmarkEnd w:id="22"/>
            <w:bookmarkEnd w:id="23"/>
          </w:p>
        </w:tc>
        <w:tc>
          <w:tcPr>
            <w:tcW w:w="3750" w:type="dxa"/>
            <w:noWrap w:val="0"/>
            <w:vAlign w:val="center"/>
          </w:tcPr>
          <w:p w14:paraId="3323492A">
            <w:pPr>
              <w:spacing w:line="360" w:lineRule="exact"/>
              <w:jc w:val="both"/>
              <w:rPr>
                <w:rFonts w:ascii="宋体" w:hAnsi="宋体"/>
                <w:color w:val="auto"/>
                <w:szCs w:val="21"/>
                <w:highlight w:val="none"/>
              </w:rPr>
            </w:pPr>
            <w:r>
              <w:rPr>
                <w:rFonts w:hint="eastAsia" w:ascii="宋体" w:hAnsi="宋体" w:eastAsia="宋体" w:cs="Times New Roman"/>
                <w:color w:val="auto"/>
                <w:kern w:val="2"/>
                <w:sz w:val="21"/>
                <w:szCs w:val="21"/>
                <w:highlight w:val="none"/>
                <w:lang w:val="zh-CN" w:eastAsia="zh-CN"/>
              </w:rPr>
              <w:t>项目负责人</w:t>
            </w:r>
            <w:r>
              <w:rPr>
                <w:rFonts w:hint="eastAsia" w:ascii="宋体" w:hAnsi="宋体" w:eastAsia="宋体" w:cs="Times New Roman"/>
                <w:color w:val="auto"/>
                <w:kern w:val="2"/>
                <w:sz w:val="21"/>
                <w:szCs w:val="21"/>
                <w:highlight w:val="none"/>
                <w:lang w:val="en-US" w:eastAsia="zh-CN"/>
              </w:rPr>
              <w:t>具有一级注册造价师资格及工程类（建筑工程管理或建筑工程造价）中级以上专业技术职称</w:t>
            </w:r>
            <w:r>
              <w:rPr>
                <w:rFonts w:hint="eastAsia" w:ascii="宋体" w:hAnsi="宋体" w:eastAsia="宋体" w:cs="Times New Roman"/>
                <w:color w:val="auto"/>
                <w:kern w:val="2"/>
                <w:sz w:val="21"/>
                <w:szCs w:val="21"/>
                <w:highlight w:val="none"/>
                <w:lang w:val="zh-CN" w:eastAsia="zh-CN"/>
              </w:rPr>
              <w:t>。</w:t>
            </w:r>
          </w:p>
        </w:tc>
        <w:tc>
          <w:tcPr>
            <w:tcW w:w="3750" w:type="dxa"/>
            <w:noWrap w:val="0"/>
            <w:vAlign w:val="center"/>
          </w:tcPr>
          <w:p w14:paraId="7421A212">
            <w:pPr>
              <w:rPr>
                <w:rFonts w:hint="eastAsia" w:ascii="宋体" w:hAnsi="宋体" w:cs="宋体"/>
                <w:color w:val="auto"/>
                <w:szCs w:val="21"/>
                <w:highlight w:val="none"/>
              </w:rPr>
            </w:pPr>
          </w:p>
        </w:tc>
        <w:tc>
          <w:tcPr>
            <w:tcW w:w="1377" w:type="dxa"/>
            <w:noWrap w:val="0"/>
            <w:vAlign w:val="center"/>
          </w:tcPr>
          <w:p w14:paraId="10628107">
            <w:pPr>
              <w:jc w:val="center"/>
              <w:rPr>
                <w:rFonts w:hint="eastAsia" w:ascii="宋体" w:hAnsi="宋体" w:cs="宋体"/>
                <w:color w:val="auto"/>
                <w:szCs w:val="21"/>
                <w:highlight w:val="none"/>
              </w:rPr>
            </w:pPr>
          </w:p>
        </w:tc>
        <w:tc>
          <w:tcPr>
            <w:tcW w:w="1200" w:type="dxa"/>
            <w:noWrap w:val="0"/>
            <w:vAlign w:val="center"/>
          </w:tcPr>
          <w:p w14:paraId="40BFFAAB">
            <w:pPr>
              <w:jc w:val="center"/>
              <w:rPr>
                <w:rFonts w:hint="eastAsia" w:ascii="宋体" w:hAnsi="宋体" w:cs="宋体"/>
                <w:color w:val="auto"/>
                <w:szCs w:val="21"/>
                <w:highlight w:val="none"/>
              </w:rPr>
            </w:pPr>
          </w:p>
        </w:tc>
      </w:tr>
      <w:tr w14:paraId="2B2B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vMerge w:val="continue"/>
            <w:noWrap w:val="0"/>
            <w:vAlign w:val="center"/>
          </w:tcPr>
          <w:p w14:paraId="0B3F3AA3">
            <w:pPr>
              <w:jc w:val="center"/>
              <w:rPr>
                <w:rFonts w:hint="eastAsia" w:ascii="宋体" w:hAnsi="宋体" w:cs="宋体"/>
                <w:color w:val="auto"/>
                <w:szCs w:val="21"/>
                <w:highlight w:val="none"/>
              </w:rPr>
            </w:pPr>
          </w:p>
        </w:tc>
        <w:tc>
          <w:tcPr>
            <w:tcW w:w="3750" w:type="dxa"/>
            <w:noWrap w:val="0"/>
            <w:vAlign w:val="center"/>
          </w:tcPr>
          <w:p w14:paraId="6B2019D8">
            <w:pPr>
              <w:spacing w:line="360" w:lineRule="exact"/>
              <w:jc w:val="both"/>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复核人</w:t>
            </w:r>
            <w:r>
              <w:rPr>
                <w:rFonts w:hint="eastAsia" w:ascii="宋体" w:hAnsi="宋体" w:eastAsia="宋体" w:cs="Times New Roman"/>
                <w:color w:val="auto"/>
                <w:kern w:val="2"/>
                <w:sz w:val="21"/>
                <w:szCs w:val="21"/>
                <w:highlight w:val="none"/>
                <w:lang w:val="zh-CN" w:eastAsia="zh-CN"/>
              </w:rPr>
              <w:t>具</w:t>
            </w:r>
            <w:r>
              <w:rPr>
                <w:rFonts w:hint="eastAsia" w:ascii="宋体" w:hAnsi="宋体" w:eastAsia="宋体" w:cs="Times New Roman"/>
                <w:color w:val="auto"/>
                <w:kern w:val="2"/>
                <w:sz w:val="21"/>
                <w:szCs w:val="21"/>
                <w:highlight w:val="none"/>
                <w:lang w:val="en-US" w:eastAsia="zh-CN"/>
              </w:rPr>
              <w:t>有一级</w:t>
            </w:r>
            <w:r>
              <w:rPr>
                <w:rFonts w:hint="eastAsia" w:ascii="宋体" w:hAnsi="宋体" w:eastAsia="宋体" w:cs="Times New Roman"/>
                <w:color w:val="auto"/>
                <w:kern w:val="2"/>
                <w:sz w:val="21"/>
                <w:szCs w:val="21"/>
                <w:highlight w:val="none"/>
                <w:lang w:val="zh-CN" w:eastAsia="zh-CN"/>
              </w:rPr>
              <w:t>注册造价工程师执业资格。</w:t>
            </w:r>
          </w:p>
        </w:tc>
        <w:tc>
          <w:tcPr>
            <w:tcW w:w="3750" w:type="dxa"/>
            <w:noWrap w:val="0"/>
            <w:vAlign w:val="center"/>
          </w:tcPr>
          <w:p w14:paraId="4BF59242">
            <w:pPr>
              <w:rPr>
                <w:rFonts w:hint="eastAsia" w:ascii="宋体" w:hAnsi="宋体" w:cs="宋体"/>
                <w:color w:val="auto"/>
                <w:szCs w:val="21"/>
                <w:highlight w:val="none"/>
              </w:rPr>
            </w:pPr>
          </w:p>
        </w:tc>
        <w:tc>
          <w:tcPr>
            <w:tcW w:w="1377" w:type="dxa"/>
            <w:noWrap w:val="0"/>
            <w:vAlign w:val="center"/>
          </w:tcPr>
          <w:p w14:paraId="3598B40D">
            <w:pPr>
              <w:jc w:val="center"/>
              <w:rPr>
                <w:rFonts w:hint="eastAsia" w:ascii="宋体" w:hAnsi="宋体" w:cs="宋体"/>
                <w:color w:val="auto"/>
                <w:szCs w:val="21"/>
                <w:highlight w:val="none"/>
              </w:rPr>
            </w:pPr>
          </w:p>
        </w:tc>
        <w:tc>
          <w:tcPr>
            <w:tcW w:w="1200" w:type="dxa"/>
            <w:noWrap w:val="0"/>
            <w:vAlign w:val="center"/>
          </w:tcPr>
          <w:p w14:paraId="0D1C56FA">
            <w:pPr>
              <w:jc w:val="center"/>
              <w:rPr>
                <w:rFonts w:hint="eastAsia" w:ascii="宋体" w:hAnsi="宋体" w:cs="宋体"/>
                <w:color w:val="auto"/>
                <w:szCs w:val="21"/>
                <w:highlight w:val="none"/>
              </w:rPr>
            </w:pPr>
          </w:p>
        </w:tc>
      </w:tr>
      <w:tr w14:paraId="01EE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vMerge w:val="continue"/>
            <w:noWrap w:val="0"/>
            <w:vAlign w:val="center"/>
          </w:tcPr>
          <w:p w14:paraId="1BFB568C">
            <w:pPr>
              <w:jc w:val="center"/>
              <w:rPr>
                <w:rFonts w:hint="eastAsia" w:ascii="宋体" w:hAnsi="宋体" w:cs="宋体"/>
                <w:color w:val="auto"/>
                <w:szCs w:val="21"/>
                <w:highlight w:val="none"/>
              </w:rPr>
            </w:pPr>
          </w:p>
        </w:tc>
        <w:tc>
          <w:tcPr>
            <w:tcW w:w="3750" w:type="dxa"/>
            <w:noWrap w:val="0"/>
            <w:vAlign w:val="center"/>
          </w:tcPr>
          <w:p w14:paraId="21DFEC19">
            <w:pPr>
              <w:spacing w:line="360" w:lineRule="exact"/>
              <w:jc w:val="both"/>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具有建筑工程或建筑与装饰装修工程专业造价编制、审核能力的2人、具有市政专业造价编制审核能力的1人、具有安装工程专业造价编制审核能力的2人，其中建筑与装饰装修工程和安装工程专业所配备的编制、审核人员必须各有一名独自承担过百万元及以上预结算项目的经验。</w:t>
            </w:r>
          </w:p>
        </w:tc>
        <w:tc>
          <w:tcPr>
            <w:tcW w:w="3750" w:type="dxa"/>
            <w:noWrap w:val="0"/>
            <w:vAlign w:val="center"/>
          </w:tcPr>
          <w:p w14:paraId="22AFB279">
            <w:pPr>
              <w:rPr>
                <w:rFonts w:hint="eastAsia" w:ascii="宋体" w:hAnsi="宋体" w:cs="宋体"/>
                <w:color w:val="auto"/>
                <w:szCs w:val="21"/>
                <w:highlight w:val="none"/>
              </w:rPr>
            </w:pPr>
          </w:p>
        </w:tc>
        <w:tc>
          <w:tcPr>
            <w:tcW w:w="1377" w:type="dxa"/>
            <w:noWrap w:val="0"/>
            <w:vAlign w:val="center"/>
          </w:tcPr>
          <w:p w14:paraId="051EA69F">
            <w:pPr>
              <w:jc w:val="center"/>
              <w:rPr>
                <w:rFonts w:hint="eastAsia" w:ascii="宋体" w:hAnsi="宋体" w:cs="宋体"/>
                <w:color w:val="auto"/>
                <w:szCs w:val="21"/>
                <w:highlight w:val="none"/>
              </w:rPr>
            </w:pPr>
          </w:p>
        </w:tc>
        <w:tc>
          <w:tcPr>
            <w:tcW w:w="1200" w:type="dxa"/>
            <w:noWrap w:val="0"/>
            <w:vAlign w:val="center"/>
          </w:tcPr>
          <w:p w14:paraId="5724AE5E">
            <w:pPr>
              <w:jc w:val="center"/>
              <w:rPr>
                <w:rFonts w:hint="eastAsia" w:ascii="宋体" w:hAnsi="宋体" w:cs="宋体"/>
                <w:color w:val="auto"/>
                <w:szCs w:val="21"/>
                <w:highlight w:val="none"/>
              </w:rPr>
            </w:pPr>
          </w:p>
        </w:tc>
      </w:tr>
      <w:tr w14:paraId="23CC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vMerge w:val="continue"/>
            <w:noWrap w:val="0"/>
            <w:vAlign w:val="center"/>
          </w:tcPr>
          <w:p w14:paraId="56D8491E">
            <w:pPr>
              <w:jc w:val="center"/>
              <w:rPr>
                <w:rFonts w:hint="eastAsia" w:ascii="宋体" w:hAnsi="宋体" w:cs="宋体"/>
                <w:color w:val="auto"/>
                <w:szCs w:val="21"/>
                <w:highlight w:val="none"/>
              </w:rPr>
            </w:pPr>
          </w:p>
        </w:tc>
        <w:tc>
          <w:tcPr>
            <w:tcW w:w="3750" w:type="dxa"/>
            <w:noWrap w:val="0"/>
            <w:vAlign w:val="center"/>
          </w:tcPr>
          <w:p w14:paraId="03E981F1">
            <w:pPr>
              <w:spacing w:line="360" w:lineRule="exact"/>
              <w:jc w:val="both"/>
              <w:rPr>
                <w:rFonts w:hint="eastAsia" w:ascii="宋体" w:hAnsi="宋体" w:eastAsia="宋体" w:cs="Times New Roman"/>
                <w:color w:val="auto"/>
                <w:kern w:val="2"/>
                <w:sz w:val="21"/>
                <w:szCs w:val="21"/>
                <w:highlight w:val="none"/>
                <w:lang w:val="en-US" w:eastAsia="zh-CN"/>
              </w:rPr>
            </w:pPr>
            <w:r>
              <w:rPr>
                <w:spacing w:val="9"/>
                <w:highlight w:val="none"/>
              </w:rPr>
              <w:t>所配备的人员必须是本单位员工</w:t>
            </w:r>
            <w:r>
              <w:rPr>
                <w:rFonts w:hint="eastAsia"/>
                <w:spacing w:val="9"/>
                <w:highlight w:val="none"/>
                <w:lang w:eastAsia="zh-CN"/>
              </w:rPr>
              <w:t>，</w:t>
            </w:r>
            <w:r>
              <w:rPr>
                <w:spacing w:val="9"/>
                <w:highlight w:val="none"/>
              </w:rPr>
              <w:t>并且提供</w:t>
            </w:r>
            <w:r>
              <w:rPr>
                <w:rFonts w:hint="eastAsia"/>
                <w:spacing w:val="9"/>
                <w:highlight w:val="none"/>
                <w:lang w:val="en-US" w:eastAsia="zh-CN"/>
              </w:rPr>
              <w:t>相关证明</w:t>
            </w:r>
            <w:r>
              <w:rPr>
                <w:spacing w:val="7"/>
                <w:highlight w:val="none"/>
              </w:rPr>
              <w:t>。</w:t>
            </w:r>
          </w:p>
        </w:tc>
        <w:tc>
          <w:tcPr>
            <w:tcW w:w="3750" w:type="dxa"/>
            <w:noWrap w:val="0"/>
            <w:vAlign w:val="center"/>
          </w:tcPr>
          <w:p w14:paraId="76786EBD">
            <w:pPr>
              <w:rPr>
                <w:rFonts w:hint="eastAsia" w:ascii="宋体" w:hAnsi="宋体" w:cs="宋体"/>
                <w:color w:val="auto"/>
                <w:szCs w:val="21"/>
                <w:highlight w:val="none"/>
              </w:rPr>
            </w:pPr>
          </w:p>
        </w:tc>
        <w:tc>
          <w:tcPr>
            <w:tcW w:w="1377" w:type="dxa"/>
            <w:noWrap w:val="0"/>
            <w:vAlign w:val="center"/>
          </w:tcPr>
          <w:p w14:paraId="4571EFBD">
            <w:pPr>
              <w:jc w:val="center"/>
              <w:rPr>
                <w:rFonts w:hint="eastAsia" w:ascii="宋体" w:hAnsi="宋体" w:cs="宋体"/>
                <w:color w:val="auto"/>
                <w:szCs w:val="21"/>
                <w:highlight w:val="none"/>
              </w:rPr>
            </w:pPr>
          </w:p>
        </w:tc>
        <w:tc>
          <w:tcPr>
            <w:tcW w:w="1200" w:type="dxa"/>
            <w:noWrap w:val="0"/>
            <w:vAlign w:val="center"/>
          </w:tcPr>
          <w:p w14:paraId="4E5F677E">
            <w:pPr>
              <w:jc w:val="center"/>
              <w:rPr>
                <w:rFonts w:hint="eastAsia" w:ascii="宋体" w:hAnsi="宋体" w:cs="宋体"/>
                <w:color w:val="auto"/>
                <w:szCs w:val="21"/>
                <w:highlight w:val="none"/>
              </w:rPr>
            </w:pPr>
          </w:p>
        </w:tc>
      </w:tr>
      <w:tr w14:paraId="22A6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noWrap w:val="0"/>
            <w:vAlign w:val="center"/>
          </w:tcPr>
          <w:p w14:paraId="55854E27">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3</w:t>
            </w:r>
          </w:p>
        </w:tc>
        <w:tc>
          <w:tcPr>
            <w:tcW w:w="3750" w:type="dxa"/>
            <w:noWrap w:val="0"/>
            <w:vAlign w:val="center"/>
          </w:tcPr>
          <w:p w14:paraId="732C75C5">
            <w:pPr>
              <w:spacing w:line="360" w:lineRule="exact"/>
              <w:jc w:val="both"/>
              <w:rPr>
                <w:rFonts w:hint="eastAsia" w:ascii="宋体" w:hAnsi="宋体" w:eastAsia="宋体" w:cs="Times New Roman"/>
                <w:color w:val="auto"/>
                <w:kern w:val="2"/>
                <w:sz w:val="21"/>
                <w:szCs w:val="21"/>
                <w:highlight w:val="none"/>
                <w:lang w:val="en-US" w:eastAsia="zh-CN"/>
              </w:rPr>
            </w:pPr>
            <w:r>
              <w:rPr>
                <w:rFonts w:hint="eastAsia" w:hAnsi="宋体" w:cstheme="minorBidi"/>
                <w:color w:val="auto"/>
                <w:kern w:val="2"/>
                <w:szCs w:val="21"/>
                <w:highlight w:val="none"/>
                <w:lang w:val="en-US" w:eastAsia="zh-CN"/>
              </w:rPr>
              <w:t>采购人</w:t>
            </w:r>
            <w:r>
              <w:rPr>
                <w:rFonts w:hint="eastAsia" w:hAnsi="宋体" w:asciiTheme="minorHAnsi" w:cstheme="minorBidi"/>
                <w:color w:val="auto"/>
                <w:kern w:val="2"/>
                <w:szCs w:val="21"/>
                <w:highlight w:val="none"/>
                <w:lang w:val="en-US"/>
              </w:rPr>
              <w:t>认为</w:t>
            </w:r>
            <w:r>
              <w:rPr>
                <w:rFonts w:hint="eastAsia" w:hAnsi="宋体" w:cstheme="minorBidi"/>
                <w:color w:val="auto"/>
                <w:kern w:val="2"/>
                <w:szCs w:val="21"/>
                <w:highlight w:val="none"/>
                <w:lang w:val="en-US" w:eastAsia="zh-CN"/>
              </w:rPr>
              <w:t>供应商</w:t>
            </w:r>
            <w:r>
              <w:rPr>
                <w:rFonts w:hint="eastAsia" w:hAnsi="宋体" w:asciiTheme="minorHAnsi" w:cstheme="minorBidi"/>
                <w:color w:val="auto"/>
                <w:kern w:val="2"/>
                <w:szCs w:val="21"/>
                <w:highlight w:val="none"/>
                <w:lang w:val="en-US"/>
              </w:rPr>
              <w:t>实际投入的工作人员不足以满足任务需要或认为工作人员不称职时，可向</w:t>
            </w:r>
            <w:r>
              <w:rPr>
                <w:rFonts w:hint="eastAsia" w:hAnsi="宋体" w:cstheme="minorBidi"/>
                <w:color w:val="auto"/>
                <w:kern w:val="2"/>
                <w:szCs w:val="21"/>
                <w:highlight w:val="none"/>
                <w:lang w:val="en-US" w:eastAsia="zh-CN"/>
              </w:rPr>
              <w:t>供应商</w:t>
            </w:r>
            <w:r>
              <w:rPr>
                <w:rFonts w:hint="eastAsia" w:hAnsi="宋体" w:asciiTheme="minorHAnsi" w:cstheme="minorBidi"/>
                <w:color w:val="auto"/>
                <w:kern w:val="2"/>
                <w:szCs w:val="21"/>
                <w:highlight w:val="none"/>
                <w:lang w:val="en-US"/>
              </w:rPr>
              <w:t>发出要求增加或更换工作人员的通知，</w:t>
            </w:r>
            <w:r>
              <w:rPr>
                <w:rFonts w:hint="eastAsia" w:hAnsi="宋体" w:cstheme="minorBidi"/>
                <w:color w:val="auto"/>
                <w:kern w:val="2"/>
                <w:szCs w:val="21"/>
                <w:highlight w:val="none"/>
                <w:lang w:val="en-US" w:eastAsia="zh-CN"/>
              </w:rPr>
              <w:t>供应商</w:t>
            </w:r>
            <w:r>
              <w:rPr>
                <w:rFonts w:hint="eastAsia" w:hAnsi="宋体" w:asciiTheme="minorHAnsi" w:cstheme="minorBidi"/>
                <w:color w:val="auto"/>
                <w:kern w:val="2"/>
                <w:szCs w:val="21"/>
                <w:highlight w:val="none"/>
                <w:lang w:val="en-US"/>
              </w:rPr>
              <w:t>在收到通知后的2天内应增加或更换相应的工作人员，由此产生的费用由</w:t>
            </w:r>
            <w:r>
              <w:rPr>
                <w:rFonts w:hint="eastAsia" w:hAnsi="宋体" w:cstheme="minorBidi"/>
                <w:color w:val="auto"/>
                <w:kern w:val="2"/>
                <w:szCs w:val="21"/>
                <w:highlight w:val="none"/>
                <w:lang w:val="en-US" w:eastAsia="zh-CN"/>
              </w:rPr>
              <w:t>供应商</w:t>
            </w:r>
            <w:r>
              <w:rPr>
                <w:rFonts w:hint="eastAsia" w:hAnsi="宋体" w:asciiTheme="minorHAnsi" w:cstheme="minorBidi"/>
                <w:color w:val="auto"/>
                <w:kern w:val="2"/>
                <w:szCs w:val="21"/>
                <w:highlight w:val="none"/>
                <w:lang w:val="en-US"/>
              </w:rPr>
              <w:t>自行承担。</w:t>
            </w:r>
            <w:r>
              <w:rPr>
                <w:rFonts w:hint="eastAsia" w:hAnsi="宋体" w:cstheme="minorBidi"/>
                <w:color w:val="auto"/>
                <w:kern w:val="2"/>
                <w:szCs w:val="21"/>
                <w:highlight w:val="none"/>
                <w:lang w:val="en-US" w:eastAsia="zh-CN"/>
              </w:rPr>
              <w:t>供应商</w:t>
            </w:r>
            <w:r>
              <w:rPr>
                <w:rFonts w:hint="eastAsia" w:hAnsi="宋体" w:asciiTheme="minorHAnsi" w:cstheme="minorBidi"/>
                <w:color w:val="auto"/>
                <w:kern w:val="2"/>
                <w:szCs w:val="21"/>
                <w:highlight w:val="none"/>
                <w:lang w:val="en-US"/>
              </w:rPr>
              <w:t>未按</w:t>
            </w:r>
            <w:r>
              <w:rPr>
                <w:rFonts w:hint="eastAsia" w:hAnsi="宋体" w:cstheme="minorBidi"/>
                <w:color w:val="auto"/>
                <w:kern w:val="2"/>
                <w:szCs w:val="21"/>
                <w:highlight w:val="none"/>
                <w:lang w:val="en-US" w:eastAsia="zh-CN"/>
              </w:rPr>
              <w:t>采购人</w:t>
            </w:r>
            <w:r>
              <w:rPr>
                <w:rFonts w:hint="eastAsia" w:hAnsi="宋体" w:asciiTheme="minorHAnsi" w:cstheme="minorBidi"/>
                <w:color w:val="auto"/>
                <w:kern w:val="2"/>
                <w:szCs w:val="21"/>
                <w:highlight w:val="none"/>
                <w:lang w:val="en-US"/>
              </w:rPr>
              <w:t>要求增加或更换工作人员，影响到项目进度或质量的，</w:t>
            </w:r>
            <w:r>
              <w:rPr>
                <w:rFonts w:hint="eastAsia" w:hAnsi="宋体" w:cstheme="minorBidi"/>
                <w:color w:val="auto"/>
                <w:kern w:val="2"/>
                <w:szCs w:val="21"/>
                <w:highlight w:val="none"/>
                <w:lang w:val="en-US" w:eastAsia="zh-CN"/>
              </w:rPr>
              <w:t>采购人</w:t>
            </w:r>
            <w:r>
              <w:rPr>
                <w:rFonts w:hint="eastAsia" w:hAnsi="宋体" w:asciiTheme="minorHAnsi" w:cstheme="minorBidi"/>
                <w:color w:val="auto"/>
                <w:kern w:val="2"/>
                <w:szCs w:val="21"/>
                <w:highlight w:val="none"/>
                <w:lang w:val="en-US"/>
              </w:rPr>
              <w:t>有权停止或中止安排造价咨询任务，造价咨询项目已开展的，</w:t>
            </w:r>
            <w:r>
              <w:rPr>
                <w:rFonts w:hint="eastAsia" w:hAnsi="宋体" w:cstheme="minorBidi"/>
                <w:color w:val="auto"/>
                <w:kern w:val="2"/>
                <w:szCs w:val="21"/>
                <w:highlight w:val="none"/>
                <w:lang w:val="en-US" w:eastAsia="zh-CN"/>
              </w:rPr>
              <w:t>采购人</w:t>
            </w:r>
            <w:r>
              <w:rPr>
                <w:rFonts w:hint="eastAsia" w:hAnsi="宋体" w:asciiTheme="minorHAnsi" w:cstheme="minorBidi"/>
                <w:color w:val="auto"/>
                <w:kern w:val="2"/>
                <w:szCs w:val="21"/>
                <w:highlight w:val="none"/>
                <w:lang w:val="en-US"/>
              </w:rPr>
              <w:t>有权拒绝支付服务费用。</w:t>
            </w:r>
          </w:p>
        </w:tc>
        <w:tc>
          <w:tcPr>
            <w:tcW w:w="3750" w:type="dxa"/>
            <w:noWrap w:val="0"/>
            <w:vAlign w:val="center"/>
          </w:tcPr>
          <w:p w14:paraId="6F35A4E4">
            <w:pPr>
              <w:rPr>
                <w:rFonts w:hint="eastAsia" w:ascii="宋体" w:hAnsi="宋体" w:cs="宋体"/>
                <w:color w:val="auto"/>
                <w:szCs w:val="21"/>
                <w:highlight w:val="none"/>
              </w:rPr>
            </w:pPr>
          </w:p>
        </w:tc>
        <w:tc>
          <w:tcPr>
            <w:tcW w:w="1377" w:type="dxa"/>
            <w:noWrap w:val="0"/>
            <w:vAlign w:val="center"/>
          </w:tcPr>
          <w:p w14:paraId="5E7EA4AA">
            <w:pPr>
              <w:jc w:val="center"/>
              <w:rPr>
                <w:rFonts w:hint="eastAsia" w:ascii="宋体" w:hAnsi="宋体" w:cs="宋体"/>
                <w:color w:val="auto"/>
                <w:szCs w:val="21"/>
                <w:highlight w:val="none"/>
              </w:rPr>
            </w:pPr>
          </w:p>
        </w:tc>
        <w:tc>
          <w:tcPr>
            <w:tcW w:w="1200" w:type="dxa"/>
            <w:noWrap w:val="0"/>
            <w:vAlign w:val="center"/>
          </w:tcPr>
          <w:p w14:paraId="2E1BC33D">
            <w:pPr>
              <w:jc w:val="center"/>
              <w:rPr>
                <w:rFonts w:hint="eastAsia" w:ascii="宋体" w:hAnsi="宋体" w:cs="宋体"/>
                <w:color w:val="auto"/>
                <w:szCs w:val="21"/>
                <w:highlight w:val="none"/>
              </w:rPr>
            </w:pPr>
          </w:p>
        </w:tc>
      </w:tr>
      <w:tr w14:paraId="02FB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noWrap w:val="0"/>
            <w:vAlign w:val="center"/>
          </w:tcPr>
          <w:p w14:paraId="2DCC47B2">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750" w:type="dxa"/>
            <w:noWrap w:val="0"/>
            <w:vAlign w:val="center"/>
          </w:tcPr>
          <w:p w14:paraId="08FA6B40">
            <w:pPr>
              <w:spacing w:line="360" w:lineRule="exact"/>
              <w:jc w:val="both"/>
              <w:rPr>
                <w:rFonts w:ascii="宋体" w:hAnsi="宋体"/>
                <w:color w:val="auto"/>
                <w:szCs w:val="21"/>
                <w:highlight w:val="none"/>
              </w:rPr>
            </w:pPr>
            <w:r>
              <w:rPr>
                <w:rFonts w:hint="eastAsia" w:ascii="宋体" w:hAnsi="宋体" w:eastAsia="宋体" w:cs="Times New Roman"/>
                <w:color w:val="auto"/>
                <w:sz w:val="21"/>
                <w:szCs w:val="21"/>
                <w:highlight w:val="none"/>
                <w:lang w:val="en-US" w:eastAsia="zh-CN"/>
              </w:rPr>
              <w:t>供应商</w:t>
            </w:r>
            <w:r>
              <w:rPr>
                <w:rFonts w:hint="eastAsia" w:ascii="宋体" w:hAnsi="宋体" w:eastAsia="宋体" w:cs="Times New Roman"/>
                <w:color w:val="auto"/>
                <w:szCs w:val="21"/>
                <w:highlight w:val="none"/>
              </w:rPr>
              <w:t>要严格遵守国家的法律、法规和有关规章制度，严格遵守《工程造价咨询单位行为准则》、《造价工程师职业道德行为准则》、《政府投资项目审计管理办法》等法律法规要求，</w:t>
            </w:r>
            <w:r>
              <w:rPr>
                <w:rFonts w:hint="eastAsia" w:ascii="宋体" w:hAnsi="宋体" w:eastAsia="宋体" w:cs="Times New Roman"/>
                <w:color w:val="auto"/>
                <w:sz w:val="21"/>
                <w:szCs w:val="21"/>
                <w:highlight w:val="none"/>
                <w:lang w:val="en-US" w:eastAsia="zh-CN"/>
              </w:rPr>
              <w:t>编制或审核过程中有过度设计、超标准现象需及时向采购人提出，若供应商进行造价咨询的项目有上级相关部门检查时，供应商应积极配合采购人迎检工作。</w:t>
            </w:r>
          </w:p>
        </w:tc>
        <w:tc>
          <w:tcPr>
            <w:tcW w:w="3750" w:type="dxa"/>
            <w:noWrap w:val="0"/>
            <w:vAlign w:val="center"/>
          </w:tcPr>
          <w:p w14:paraId="6B7C2326">
            <w:pPr>
              <w:rPr>
                <w:rFonts w:hint="eastAsia" w:ascii="宋体" w:hAnsi="宋体" w:cs="宋体"/>
                <w:color w:val="auto"/>
                <w:szCs w:val="21"/>
                <w:highlight w:val="none"/>
              </w:rPr>
            </w:pPr>
          </w:p>
        </w:tc>
        <w:tc>
          <w:tcPr>
            <w:tcW w:w="1377" w:type="dxa"/>
            <w:noWrap w:val="0"/>
            <w:vAlign w:val="center"/>
          </w:tcPr>
          <w:p w14:paraId="53195844">
            <w:pPr>
              <w:jc w:val="center"/>
              <w:rPr>
                <w:rFonts w:hint="eastAsia" w:ascii="宋体" w:hAnsi="宋体" w:cs="宋体"/>
                <w:color w:val="auto"/>
                <w:szCs w:val="21"/>
                <w:highlight w:val="none"/>
              </w:rPr>
            </w:pPr>
          </w:p>
        </w:tc>
        <w:tc>
          <w:tcPr>
            <w:tcW w:w="1200" w:type="dxa"/>
            <w:noWrap w:val="0"/>
            <w:vAlign w:val="center"/>
          </w:tcPr>
          <w:p w14:paraId="567DCAB9">
            <w:pPr>
              <w:jc w:val="center"/>
              <w:rPr>
                <w:rFonts w:hint="eastAsia" w:ascii="宋体" w:hAnsi="宋体" w:cs="宋体"/>
                <w:color w:val="auto"/>
                <w:szCs w:val="21"/>
                <w:highlight w:val="none"/>
              </w:rPr>
            </w:pPr>
          </w:p>
        </w:tc>
      </w:tr>
      <w:tr w14:paraId="7DE8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noWrap w:val="0"/>
            <w:vAlign w:val="center"/>
          </w:tcPr>
          <w:p w14:paraId="24591381">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5</w:t>
            </w:r>
          </w:p>
        </w:tc>
        <w:tc>
          <w:tcPr>
            <w:tcW w:w="3750" w:type="dxa"/>
            <w:noWrap w:val="0"/>
            <w:vAlign w:val="center"/>
          </w:tcPr>
          <w:p w14:paraId="53543B3E">
            <w:pPr>
              <w:spacing w:line="360" w:lineRule="exact"/>
              <w:jc w:val="both"/>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按清单法计算，算量软件采用广联达或列出详细计算式、计价软件采用博奥</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博奥云</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，材料价格按最近一期《南宁市建设工程造价信息》计算，信息价没有的要求进行市场询价，并提供</w:t>
            </w:r>
            <w:r>
              <w:rPr>
                <w:rFonts w:hint="eastAsia" w:ascii="宋体" w:hAnsi="宋体" w:eastAsia="宋体" w:cs="Times New Roman"/>
                <w:color w:val="auto"/>
                <w:sz w:val="21"/>
                <w:szCs w:val="21"/>
                <w:highlight w:val="none"/>
                <w:lang w:val="en-US" w:eastAsia="zh-CN"/>
              </w:rPr>
              <w:t>三家及以上的</w:t>
            </w:r>
            <w:r>
              <w:rPr>
                <w:rFonts w:hint="eastAsia" w:ascii="宋体" w:hAnsi="宋体" w:eastAsia="宋体" w:cs="Times New Roman"/>
                <w:color w:val="auto"/>
                <w:sz w:val="21"/>
                <w:szCs w:val="21"/>
                <w:highlight w:val="none"/>
              </w:rPr>
              <w:t>有效市场询价单。</w:t>
            </w:r>
          </w:p>
        </w:tc>
        <w:tc>
          <w:tcPr>
            <w:tcW w:w="3750" w:type="dxa"/>
            <w:noWrap w:val="0"/>
            <w:vAlign w:val="center"/>
          </w:tcPr>
          <w:p w14:paraId="1BEEB79C">
            <w:pPr>
              <w:rPr>
                <w:rFonts w:hint="eastAsia" w:ascii="宋体" w:hAnsi="宋体" w:cs="宋体"/>
                <w:color w:val="auto"/>
                <w:szCs w:val="21"/>
                <w:highlight w:val="none"/>
              </w:rPr>
            </w:pPr>
          </w:p>
        </w:tc>
        <w:tc>
          <w:tcPr>
            <w:tcW w:w="1377" w:type="dxa"/>
            <w:noWrap w:val="0"/>
            <w:vAlign w:val="center"/>
          </w:tcPr>
          <w:p w14:paraId="6C283085">
            <w:pPr>
              <w:jc w:val="center"/>
              <w:rPr>
                <w:rFonts w:hint="eastAsia" w:ascii="宋体" w:hAnsi="宋体" w:cs="宋体"/>
                <w:color w:val="auto"/>
                <w:szCs w:val="21"/>
                <w:highlight w:val="none"/>
              </w:rPr>
            </w:pPr>
          </w:p>
        </w:tc>
        <w:tc>
          <w:tcPr>
            <w:tcW w:w="1200" w:type="dxa"/>
            <w:noWrap w:val="0"/>
            <w:vAlign w:val="center"/>
          </w:tcPr>
          <w:p w14:paraId="5F5CA427">
            <w:pPr>
              <w:jc w:val="center"/>
              <w:rPr>
                <w:rFonts w:hint="eastAsia" w:ascii="宋体" w:hAnsi="宋体" w:cs="宋体"/>
                <w:color w:val="auto"/>
                <w:szCs w:val="21"/>
                <w:highlight w:val="none"/>
              </w:rPr>
            </w:pPr>
          </w:p>
        </w:tc>
      </w:tr>
      <w:tr w14:paraId="2131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noWrap w:val="0"/>
            <w:vAlign w:val="center"/>
          </w:tcPr>
          <w:p w14:paraId="654C1440">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3750" w:type="dxa"/>
            <w:noWrap w:val="0"/>
            <w:vAlign w:val="center"/>
          </w:tcPr>
          <w:p w14:paraId="13C97D16">
            <w:pPr>
              <w:spacing w:line="360" w:lineRule="exact"/>
              <w:jc w:val="both"/>
              <w:rPr>
                <w:rFonts w:hint="eastAsia" w:hAnsi="宋体"/>
                <w:color w:val="auto"/>
                <w:szCs w:val="21"/>
                <w:highlight w:val="none"/>
              </w:rPr>
            </w:pPr>
            <w:r>
              <w:rPr>
                <w:rFonts w:hint="eastAsia" w:hAnsi="宋体"/>
                <w:color w:val="auto"/>
                <w:szCs w:val="21"/>
                <w:highlight w:val="none"/>
                <w:lang w:eastAsia="zh-CN"/>
              </w:rPr>
              <w:t>供应商</w:t>
            </w:r>
            <w:r>
              <w:rPr>
                <w:rFonts w:hint="eastAsia" w:hAnsi="宋体"/>
                <w:color w:val="auto"/>
                <w:szCs w:val="21"/>
                <w:highlight w:val="none"/>
              </w:rPr>
              <w:t>在进行工程量清单及招标控制价编制与审核、工程施工阶段造价跟踪审核、竣工结算审核时，对图纸不清或把握不准的要在第一时间向</w:t>
            </w:r>
            <w:r>
              <w:rPr>
                <w:rFonts w:hint="eastAsia" w:hAnsi="宋体"/>
                <w:color w:val="auto"/>
                <w:szCs w:val="21"/>
                <w:highlight w:val="none"/>
                <w:lang w:eastAsia="zh-CN"/>
              </w:rPr>
              <w:t>采购人</w:t>
            </w:r>
            <w:r>
              <w:rPr>
                <w:rFonts w:hint="eastAsia" w:hAnsi="宋体"/>
                <w:color w:val="auto"/>
                <w:szCs w:val="21"/>
                <w:highlight w:val="none"/>
              </w:rPr>
              <w:t>进行反映并沟通。</w:t>
            </w:r>
            <w:r>
              <w:rPr>
                <w:rFonts w:hint="eastAsia" w:hAnsi="宋体"/>
                <w:color w:val="auto"/>
                <w:szCs w:val="21"/>
                <w:highlight w:val="none"/>
                <w:lang w:eastAsia="zh-CN"/>
              </w:rPr>
              <w:t>采购人</w:t>
            </w:r>
            <w:r>
              <w:rPr>
                <w:rFonts w:hint="eastAsia" w:hAnsi="宋体"/>
                <w:color w:val="auto"/>
                <w:szCs w:val="21"/>
                <w:highlight w:val="none"/>
              </w:rPr>
              <w:t>对</w:t>
            </w:r>
            <w:r>
              <w:rPr>
                <w:rFonts w:hint="eastAsia" w:hAnsi="宋体"/>
                <w:color w:val="auto"/>
                <w:szCs w:val="21"/>
                <w:highlight w:val="none"/>
                <w:lang w:eastAsia="zh-CN"/>
              </w:rPr>
              <w:t>供应商</w:t>
            </w:r>
            <w:r>
              <w:rPr>
                <w:rFonts w:hint="eastAsia" w:hAnsi="宋体"/>
                <w:color w:val="auto"/>
                <w:szCs w:val="21"/>
                <w:highlight w:val="none"/>
                <w:lang w:val="en-US" w:eastAsia="zh-CN"/>
              </w:rPr>
              <w:t>编制、</w:t>
            </w:r>
            <w:r>
              <w:rPr>
                <w:rFonts w:hint="eastAsia" w:hAnsi="宋体"/>
                <w:color w:val="auto"/>
                <w:szCs w:val="21"/>
                <w:highlight w:val="none"/>
              </w:rPr>
              <w:t>审核后的工程量清单及招标控制价进行复审，若存在以下情况，则需作出相应的处罚处理：</w:t>
            </w:r>
          </w:p>
          <w:p w14:paraId="41A70E88">
            <w:pPr>
              <w:spacing w:line="360" w:lineRule="exact"/>
              <w:jc w:val="both"/>
              <w:rPr>
                <w:rFonts w:hint="eastAsia" w:hAnsi="宋体"/>
                <w:color w:val="auto"/>
                <w:szCs w:val="21"/>
                <w:highlight w:val="none"/>
              </w:rPr>
            </w:pPr>
            <w:r>
              <w:rPr>
                <w:rFonts w:hint="eastAsia" w:hAnsi="宋体"/>
                <w:color w:val="auto"/>
                <w:szCs w:val="21"/>
                <w:highlight w:val="none"/>
              </w:rPr>
              <w:t>（1）清单错（漏）项五项以内的（含五项）且影响工程总额超过5%的，或清单错项（漏） 数超过项目清单总项数10%的，则</w:t>
            </w:r>
            <w:r>
              <w:rPr>
                <w:rFonts w:hint="eastAsia" w:hAnsi="宋体"/>
                <w:color w:val="auto"/>
                <w:szCs w:val="21"/>
                <w:highlight w:val="none"/>
                <w:lang w:eastAsia="zh-CN"/>
              </w:rPr>
              <w:t>采购人</w:t>
            </w:r>
            <w:r>
              <w:rPr>
                <w:rFonts w:hint="eastAsia" w:hAnsi="宋体"/>
                <w:color w:val="auto"/>
                <w:szCs w:val="21"/>
                <w:highlight w:val="none"/>
              </w:rPr>
              <w:t>有权扣减该项目</w:t>
            </w:r>
            <w:r>
              <w:rPr>
                <w:rFonts w:hint="eastAsia" w:hAnsi="宋体"/>
                <w:color w:val="auto"/>
                <w:szCs w:val="21"/>
                <w:highlight w:val="none"/>
                <w:lang w:eastAsia="zh-CN"/>
              </w:rPr>
              <w:t>供应商</w:t>
            </w:r>
            <w:r>
              <w:rPr>
                <w:rFonts w:hint="eastAsia" w:hAnsi="宋体"/>
                <w:color w:val="auto"/>
                <w:szCs w:val="21"/>
                <w:highlight w:val="none"/>
              </w:rPr>
              <w:t>服务费用的10%作为处罚处理；</w:t>
            </w:r>
          </w:p>
          <w:p w14:paraId="244A72C3">
            <w:pPr>
              <w:spacing w:line="360" w:lineRule="exact"/>
              <w:jc w:val="both"/>
              <w:rPr>
                <w:rFonts w:hint="eastAsia" w:hAnsi="宋体" w:eastAsiaTheme="minorEastAsia"/>
                <w:color w:val="auto"/>
                <w:szCs w:val="21"/>
                <w:highlight w:val="none"/>
                <w:lang w:eastAsia="zh-CN"/>
              </w:rPr>
            </w:pPr>
            <w:r>
              <w:rPr>
                <w:rFonts w:hint="eastAsia" w:hAnsi="宋体"/>
                <w:color w:val="auto"/>
                <w:szCs w:val="21"/>
                <w:highlight w:val="none"/>
              </w:rPr>
              <w:t>（2）清单错（漏）项五项以上且影响项目总额超过10%的，或错（漏）项数超过项目总项数20%的，则</w:t>
            </w:r>
            <w:r>
              <w:rPr>
                <w:rFonts w:hint="eastAsia" w:hAnsi="宋体"/>
                <w:color w:val="auto"/>
                <w:szCs w:val="21"/>
                <w:highlight w:val="none"/>
                <w:lang w:eastAsia="zh-CN"/>
              </w:rPr>
              <w:t>采购人</w:t>
            </w:r>
            <w:r>
              <w:rPr>
                <w:rFonts w:hint="eastAsia" w:hAnsi="宋体"/>
                <w:color w:val="auto"/>
                <w:szCs w:val="21"/>
                <w:highlight w:val="none"/>
              </w:rPr>
              <w:t>有权扣减该项目</w:t>
            </w:r>
            <w:r>
              <w:rPr>
                <w:rFonts w:hint="eastAsia" w:hAnsi="宋体"/>
                <w:color w:val="auto"/>
                <w:szCs w:val="21"/>
                <w:highlight w:val="none"/>
                <w:lang w:eastAsia="zh-CN"/>
              </w:rPr>
              <w:t>供应商</w:t>
            </w:r>
            <w:r>
              <w:rPr>
                <w:rFonts w:hint="eastAsia" w:hAnsi="宋体"/>
                <w:color w:val="auto"/>
                <w:szCs w:val="21"/>
                <w:highlight w:val="none"/>
              </w:rPr>
              <w:t>服务费用的20%作为处罚处理。</w:t>
            </w:r>
            <w:r>
              <w:rPr>
                <w:spacing w:val="4"/>
                <w:highlight w:val="none"/>
              </w:rPr>
              <w:t>（因采购人原因提供资料</w:t>
            </w:r>
            <w:r>
              <w:rPr>
                <w:spacing w:val="8"/>
                <w:highlight w:val="none"/>
              </w:rPr>
              <w:t>不齐或有误的情况下除外，错项不包括信息价缺项需进行材料询价</w:t>
            </w:r>
            <w:r>
              <w:rPr>
                <w:spacing w:val="1"/>
                <w:highlight w:val="none"/>
              </w:rPr>
              <w:t>部份）。</w:t>
            </w:r>
          </w:p>
        </w:tc>
        <w:tc>
          <w:tcPr>
            <w:tcW w:w="3750" w:type="dxa"/>
            <w:noWrap w:val="0"/>
            <w:vAlign w:val="center"/>
          </w:tcPr>
          <w:p w14:paraId="4E0105CC">
            <w:pPr>
              <w:rPr>
                <w:rFonts w:hint="eastAsia" w:ascii="宋体" w:hAnsi="宋体" w:cs="宋体"/>
                <w:color w:val="auto"/>
                <w:szCs w:val="21"/>
                <w:highlight w:val="none"/>
              </w:rPr>
            </w:pPr>
          </w:p>
        </w:tc>
        <w:tc>
          <w:tcPr>
            <w:tcW w:w="1377" w:type="dxa"/>
            <w:noWrap w:val="0"/>
            <w:vAlign w:val="center"/>
          </w:tcPr>
          <w:p w14:paraId="776A7000">
            <w:pPr>
              <w:jc w:val="center"/>
              <w:rPr>
                <w:rFonts w:hint="eastAsia" w:ascii="宋体" w:hAnsi="宋体" w:cs="宋体"/>
                <w:color w:val="auto"/>
                <w:szCs w:val="21"/>
                <w:highlight w:val="none"/>
              </w:rPr>
            </w:pPr>
          </w:p>
        </w:tc>
        <w:tc>
          <w:tcPr>
            <w:tcW w:w="1200" w:type="dxa"/>
            <w:noWrap w:val="0"/>
            <w:vAlign w:val="center"/>
          </w:tcPr>
          <w:p w14:paraId="130F4236">
            <w:pPr>
              <w:jc w:val="center"/>
              <w:rPr>
                <w:rFonts w:hint="eastAsia" w:ascii="宋体" w:hAnsi="宋体" w:cs="宋体"/>
                <w:color w:val="auto"/>
                <w:szCs w:val="21"/>
                <w:highlight w:val="none"/>
              </w:rPr>
            </w:pPr>
          </w:p>
        </w:tc>
      </w:tr>
      <w:tr w14:paraId="29DB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noWrap w:val="0"/>
            <w:vAlign w:val="center"/>
          </w:tcPr>
          <w:p w14:paraId="3C3AA7E0">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7</w:t>
            </w:r>
          </w:p>
        </w:tc>
        <w:tc>
          <w:tcPr>
            <w:tcW w:w="3750" w:type="dxa"/>
            <w:noWrap w:val="0"/>
            <w:vAlign w:val="center"/>
          </w:tcPr>
          <w:p w14:paraId="0F219684">
            <w:pPr>
              <w:spacing w:line="240" w:lineRule="auto"/>
              <w:jc w:val="left"/>
              <w:rPr>
                <w:rFonts w:hint="eastAsia" w:ascii="宋体" w:hAnsi="宋体" w:eastAsia="宋体" w:cs="Times New Roman"/>
                <w:color w:val="auto"/>
                <w:kern w:val="2"/>
                <w:sz w:val="21"/>
                <w:szCs w:val="21"/>
                <w:highlight w:val="none"/>
                <w:lang w:val="en-US" w:eastAsia="zh-CN"/>
              </w:rPr>
            </w:pPr>
            <w:r>
              <w:rPr>
                <w:rFonts w:ascii="Arial" w:hAnsi="Arial" w:cs="Arial"/>
                <w:color w:val="000000"/>
                <w:kern w:val="0"/>
                <w:szCs w:val="21"/>
                <w:highlight w:val="none"/>
                <w:lang w:val="zh-CN"/>
              </w:rPr>
              <w:t>乙方未按合同质量要求完成咨询服务工作，提交成果出现误差，乙方需无条件免费采取补救措施（如重新或补充编制预结算等），如因此造成甲方经济损失的，需赔偿甲方的经济损失。</w:t>
            </w:r>
          </w:p>
        </w:tc>
        <w:tc>
          <w:tcPr>
            <w:tcW w:w="3750" w:type="dxa"/>
            <w:noWrap w:val="0"/>
            <w:vAlign w:val="center"/>
          </w:tcPr>
          <w:p w14:paraId="188FAA6E">
            <w:pPr>
              <w:rPr>
                <w:rFonts w:hint="eastAsia" w:ascii="宋体" w:hAnsi="宋体" w:cs="宋体"/>
                <w:color w:val="auto"/>
                <w:szCs w:val="21"/>
                <w:highlight w:val="none"/>
              </w:rPr>
            </w:pPr>
          </w:p>
        </w:tc>
        <w:tc>
          <w:tcPr>
            <w:tcW w:w="1377" w:type="dxa"/>
            <w:noWrap w:val="0"/>
            <w:vAlign w:val="center"/>
          </w:tcPr>
          <w:p w14:paraId="2C042E9B">
            <w:pPr>
              <w:jc w:val="center"/>
              <w:rPr>
                <w:rFonts w:hint="eastAsia" w:ascii="宋体" w:hAnsi="宋体" w:cs="宋体"/>
                <w:color w:val="auto"/>
                <w:szCs w:val="21"/>
                <w:highlight w:val="none"/>
              </w:rPr>
            </w:pPr>
          </w:p>
        </w:tc>
        <w:tc>
          <w:tcPr>
            <w:tcW w:w="1200" w:type="dxa"/>
            <w:noWrap w:val="0"/>
            <w:vAlign w:val="center"/>
          </w:tcPr>
          <w:p w14:paraId="1080718C">
            <w:pPr>
              <w:jc w:val="center"/>
              <w:rPr>
                <w:rFonts w:hint="eastAsia" w:ascii="宋体" w:hAnsi="宋体" w:cs="宋体"/>
                <w:color w:val="auto"/>
                <w:szCs w:val="21"/>
                <w:highlight w:val="none"/>
              </w:rPr>
            </w:pPr>
          </w:p>
        </w:tc>
      </w:tr>
      <w:tr w14:paraId="6420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noWrap w:val="0"/>
            <w:vAlign w:val="center"/>
          </w:tcPr>
          <w:p w14:paraId="0662D05D">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3750" w:type="dxa"/>
            <w:noWrap w:val="0"/>
            <w:vAlign w:val="center"/>
          </w:tcPr>
          <w:p w14:paraId="0514CC53">
            <w:pPr>
              <w:spacing w:line="360" w:lineRule="exact"/>
              <w:jc w:val="both"/>
              <w:rPr>
                <w:rFonts w:ascii="宋体" w:hAnsi="宋体"/>
                <w:color w:val="auto"/>
                <w:szCs w:val="21"/>
                <w:highlight w:val="none"/>
              </w:rPr>
            </w:pPr>
            <w:r>
              <w:rPr>
                <w:rFonts w:ascii="Arial" w:hAnsi="Arial" w:cs="Arial"/>
                <w:color w:val="000000"/>
                <w:kern w:val="0"/>
                <w:szCs w:val="21"/>
                <w:highlight w:val="none"/>
                <w:lang w:val="zh-CN"/>
              </w:rPr>
              <w:t>乙方被甲方选定后，无正当理由不得拒绝甲方工程咨询项目的委托，</w:t>
            </w:r>
            <w:r>
              <w:rPr>
                <w:rFonts w:hint="eastAsia" w:ascii="Arial" w:hAnsi="Arial" w:cs="Arial"/>
                <w:color w:val="000000"/>
                <w:kern w:val="0"/>
                <w:szCs w:val="21"/>
                <w:highlight w:val="none"/>
                <w:lang w:val="en-US" w:eastAsia="zh-CN"/>
              </w:rPr>
              <w:t>若出现拒接采购人委托项目的，</w:t>
            </w:r>
            <w:r>
              <w:rPr>
                <w:rFonts w:hint="eastAsia" w:hAnsi="宋体"/>
                <w:color w:val="auto"/>
                <w:sz w:val="21"/>
                <w:szCs w:val="21"/>
                <w:highlight w:val="none"/>
                <w:lang w:val="en-US" w:eastAsia="zh-CN"/>
              </w:rPr>
              <w:t>采购人</w:t>
            </w:r>
            <w:r>
              <w:rPr>
                <w:rFonts w:hint="eastAsia" w:hAnsi="宋体"/>
                <w:color w:val="auto"/>
                <w:szCs w:val="21"/>
                <w:highlight w:val="none"/>
              </w:rPr>
              <w:t>在有重大或紧急项目时，可跳过该单位。</w:t>
            </w:r>
            <w:r>
              <w:rPr>
                <w:rFonts w:ascii="Arial" w:hAnsi="Arial" w:cs="Arial"/>
                <w:color w:val="000000"/>
                <w:kern w:val="0"/>
                <w:szCs w:val="21"/>
                <w:highlight w:val="none"/>
                <w:lang w:val="zh-CN"/>
              </w:rPr>
              <w:t>一年中有3次拒接甲方委托的，甲方有权终止合同</w:t>
            </w:r>
            <w:r>
              <w:rPr>
                <w:rFonts w:hint="eastAsia" w:ascii="Arial" w:hAnsi="Arial" w:cs="Arial"/>
                <w:color w:val="000000"/>
                <w:kern w:val="0"/>
                <w:szCs w:val="21"/>
                <w:highlight w:val="none"/>
                <w:lang w:val="zh-CN"/>
              </w:rPr>
              <w:t>。</w:t>
            </w:r>
          </w:p>
        </w:tc>
        <w:tc>
          <w:tcPr>
            <w:tcW w:w="3750" w:type="dxa"/>
            <w:noWrap w:val="0"/>
            <w:vAlign w:val="center"/>
          </w:tcPr>
          <w:p w14:paraId="5EC8E6A0">
            <w:pPr>
              <w:rPr>
                <w:rFonts w:hint="eastAsia" w:ascii="宋体" w:hAnsi="宋体" w:cs="宋体"/>
                <w:color w:val="auto"/>
                <w:szCs w:val="21"/>
                <w:highlight w:val="none"/>
              </w:rPr>
            </w:pPr>
          </w:p>
        </w:tc>
        <w:tc>
          <w:tcPr>
            <w:tcW w:w="1377" w:type="dxa"/>
            <w:noWrap w:val="0"/>
            <w:vAlign w:val="center"/>
          </w:tcPr>
          <w:p w14:paraId="333BB1D2">
            <w:pPr>
              <w:jc w:val="center"/>
              <w:rPr>
                <w:rFonts w:hint="eastAsia" w:ascii="宋体" w:hAnsi="宋体" w:cs="宋体"/>
                <w:color w:val="auto"/>
                <w:szCs w:val="21"/>
                <w:highlight w:val="none"/>
              </w:rPr>
            </w:pPr>
          </w:p>
        </w:tc>
        <w:tc>
          <w:tcPr>
            <w:tcW w:w="1200" w:type="dxa"/>
            <w:noWrap w:val="0"/>
            <w:vAlign w:val="center"/>
          </w:tcPr>
          <w:p w14:paraId="4D2E8B78">
            <w:pPr>
              <w:jc w:val="center"/>
              <w:rPr>
                <w:rFonts w:hint="eastAsia" w:ascii="宋体" w:hAnsi="宋体" w:cs="宋体"/>
                <w:color w:val="auto"/>
                <w:szCs w:val="21"/>
                <w:highlight w:val="none"/>
              </w:rPr>
            </w:pPr>
          </w:p>
        </w:tc>
      </w:tr>
      <w:tr w14:paraId="2609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82" w:type="dxa"/>
            <w:noWrap w:val="0"/>
            <w:vAlign w:val="center"/>
          </w:tcPr>
          <w:p w14:paraId="23EEC287">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9</w:t>
            </w:r>
          </w:p>
        </w:tc>
        <w:tc>
          <w:tcPr>
            <w:tcW w:w="3750" w:type="dxa"/>
            <w:noWrap w:val="0"/>
            <w:vAlign w:val="center"/>
          </w:tcPr>
          <w:p w14:paraId="0C8E4897">
            <w:pPr>
              <w:spacing w:line="360" w:lineRule="exact"/>
              <w:jc w:val="both"/>
              <w:rPr>
                <w:rFonts w:ascii="Arial" w:hAnsi="Arial" w:cs="Arial"/>
                <w:color w:val="000000"/>
                <w:kern w:val="0"/>
                <w:szCs w:val="21"/>
                <w:highlight w:val="none"/>
                <w:lang w:val="zh-CN"/>
              </w:rPr>
            </w:pPr>
            <w:r>
              <w:rPr>
                <w:rFonts w:hint="eastAsia" w:ascii="Arial" w:hAnsi="Arial" w:cs="Arial"/>
                <w:color w:val="000000"/>
                <w:kern w:val="0"/>
                <w:szCs w:val="21"/>
                <w:highlight w:val="none"/>
                <w:lang w:val="zh-CN"/>
              </w:rPr>
              <w:t>本项目无预付款，乙方每6个月向甲方提交服务费申请材料（招标控制价编制或审核的需在招标项目结束后才能请款），经甲方审核后，于5个工作日</w:t>
            </w:r>
            <w:r>
              <w:rPr>
                <w:rFonts w:hint="eastAsia" w:ascii="Arial" w:hAnsi="Arial" w:cs="Arial"/>
                <w:color w:val="000000"/>
                <w:kern w:val="0"/>
                <w:szCs w:val="21"/>
                <w:highlight w:val="none"/>
                <w:lang w:val="en-US" w:eastAsia="zh-CN"/>
              </w:rPr>
              <w:t>内</w:t>
            </w:r>
            <w:r>
              <w:rPr>
                <w:rFonts w:hint="eastAsia" w:ascii="Arial" w:hAnsi="Arial" w:cs="Arial"/>
                <w:color w:val="000000"/>
                <w:kern w:val="0"/>
                <w:szCs w:val="21"/>
                <w:highlight w:val="none"/>
                <w:lang w:val="zh-CN"/>
              </w:rPr>
              <w:t>提供正规发票。甲方收到发票并审核合格后将一次性支付。</w:t>
            </w:r>
          </w:p>
        </w:tc>
        <w:tc>
          <w:tcPr>
            <w:tcW w:w="3750" w:type="dxa"/>
            <w:noWrap w:val="0"/>
            <w:vAlign w:val="center"/>
          </w:tcPr>
          <w:p w14:paraId="3028B9FD">
            <w:pPr>
              <w:rPr>
                <w:rFonts w:hint="eastAsia" w:ascii="宋体" w:hAnsi="宋体" w:cs="宋体"/>
                <w:color w:val="auto"/>
                <w:szCs w:val="21"/>
                <w:highlight w:val="none"/>
              </w:rPr>
            </w:pPr>
          </w:p>
        </w:tc>
        <w:tc>
          <w:tcPr>
            <w:tcW w:w="1377" w:type="dxa"/>
            <w:noWrap w:val="0"/>
            <w:vAlign w:val="center"/>
          </w:tcPr>
          <w:p w14:paraId="26592BCE">
            <w:pPr>
              <w:jc w:val="center"/>
              <w:rPr>
                <w:rFonts w:hint="eastAsia" w:ascii="宋体" w:hAnsi="宋体" w:cs="宋体"/>
                <w:color w:val="auto"/>
                <w:szCs w:val="21"/>
                <w:highlight w:val="none"/>
              </w:rPr>
            </w:pPr>
          </w:p>
        </w:tc>
        <w:tc>
          <w:tcPr>
            <w:tcW w:w="1200" w:type="dxa"/>
            <w:noWrap w:val="0"/>
            <w:vAlign w:val="center"/>
          </w:tcPr>
          <w:p w14:paraId="76B0012D">
            <w:pPr>
              <w:jc w:val="center"/>
              <w:rPr>
                <w:rFonts w:hint="eastAsia" w:ascii="宋体" w:hAnsi="宋体" w:cs="宋体"/>
                <w:color w:val="auto"/>
                <w:szCs w:val="21"/>
                <w:highlight w:val="none"/>
              </w:rPr>
            </w:pPr>
          </w:p>
        </w:tc>
      </w:tr>
    </w:tbl>
    <w:p w14:paraId="35BA1240">
      <w:pPr>
        <w:spacing w:line="24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61DBFF50">
      <w:pPr>
        <w:adjustRightInd w:val="0"/>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highlight w:val="none"/>
        </w:rPr>
        <w:t>1、应写明</w:t>
      </w:r>
      <w:r>
        <w:rPr>
          <w:rFonts w:hint="eastAsia" w:ascii="宋体" w:hAnsi="宋体" w:cs="宋体"/>
          <w:b/>
          <w:color w:val="auto"/>
          <w:szCs w:val="21"/>
          <w:highlight w:val="none"/>
        </w:rPr>
        <w:t>对</w:t>
      </w:r>
      <w:r>
        <w:rPr>
          <w:rFonts w:hint="eastAsia" w:ascii="宋体" w:hAnsi="宋体" w:cs="宋体"/>
          <w:b/>
          <w:color w:val="auto"/>
          <w:szCs w:val="21"/>
          <w:highlight w:val="none"/>
          <w:lang w:val="en-US" w:eastAsia="zh-CN"/>
        </w:rPr>
        <w:t>服务</w:t>
      </w:r>
      <w:r>
        <w:rPr>
          <w:rFonts w:hint="eastAsia" w:ascii="宋体" w:hAnsi="宋体" w:cs="宋体"/>
          <w:b/>
          <w:color w:val="auto"/>
          <w:szCs w:val="21"/>
          <w:highlight w:val="none"/>
        </w:rPr>
        <w:t>响应和偏离情况</w:t>
      </w:r>
      <w:r>
        <w:rPr>
          <w:rFonts w:hint="eastAsia" w:ascii="宋体" w:hAnsi="宋体" w:cs="宋体"/>
          <w:b/>
          <w:bCs/>
          <w:color w:val="auto"/>
          <w:szCs w:val="21"/>
          <w:highlight w:val="none"/>
        </w:rPr>
        <w:t>；</w:t>
      </w:r>
    </w:p>
    <w:p w14:paraId="50BAD8A4">
      <w:pPr>
        <w:pStyle w:val="3"/>
        <w:spacing w:line="360" w:lineRule="exact"/>
        <w:ind w:firstLine="608"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2、应对照项目技术规格、参数及要求，逐条说明所提供服务已对文件的商务、技术做出了实质性的响应，并申明商务、技术条文的响应和偏离。特别对有具体商务、技术参数要求的，</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必须提供对应的详细应答。</w:t>
      </w:r>
    </w:p>
    <w:p w14:paraId="3F0B43D5">
      <w:pPr>
        <w:pStyle w:val="4"/>
        <w:spacing w:line="360" w:lineRule="exact"/>
        <w:rPr>
          <w:rFonts w:hint="eastAsia" w:hAnsi="宋体" w:cs="宋体"/>
          <w:color w:val="auto"/>
          <w:highlight w:val="none"/>
        </w:rPr>
      </w:pPr>
    </w:p>
    <w:p w14:paraId="3CBECFFD">
      <w:pPr>
        <w:pStyle w:val="2"/>
        <w:rPr>
          <w:rFonts w:hint="eastAsia"/>
          <w:highlight w:val="none"/>
        </w:rPr>
      </w:pPr>
    </w:p>
    <w:p w14:paraId="5DBBE92E">
      <w:pPr>
        <w:spacing w:line="560" w:lineRule="exact"/>
        <w:rPr>
          <w:spacing w:val="20"/>
          <w:sz w:val="21"/>
          <w:szCs w:val="21"/>
          <w:highlight w:val="none"/>
          <w:u w:val="single"/>
        </w:rPr>
      </w:pPr>
      <w:r>
        <w:rPr>
          <w:sz w:val="21"/>
          <w:szCs w:val="21"/>
          <w:highlight w:val="none"/>
        </w:rPr>
        <w:t>法定代表人或授权代表（签名或盖章）</w:t>
      </w:r>
      <w:r>
        <w:rPr>
          <w:spacing w:val="20"/>
          <w:sz w:val="21"/>
          <w:szCs w:val="21"/>
          <w:highlight w:val="none"/>
        </w:rPr>
        <w:t>：</w:t>
      </w:r>
      <w:r>
        <w:rPr>
          <w:spacing w:val="20"/>
          <w:sz w:val="21"/>
          <w:szCs w:val="21"/>
          <w:highlight w:val="none"/>
          <w:u w:val="single"/>
        </w:rPr>
        <w:t xml:space="preserve">                     </w:t>
      </w:r>
    </w:p>
    <w:p w14:paraId="0D12CBB7">
      <w:pPr>
        <w:spacing w:line="560" w:lineRule="exact"/>
        <w:rPr>
          <w:sz w:val="21"/>
          <w:szCs w:val="21"/>
          <w:highlight w:val="none"/>
        </w:rPr>
      </w:pPr>
      <w:r>
        <w:rPr>
          <w:sz w:val="21"/>
          <w:szCs w:val="21"/>
          <w:highlight w:val="none"/>
        </w:rPr>
        <w:t>供应商名称（公章）：</w:t>
      </w:r>
      <w:r>
        <w:rPr>
          <w:sz w:val="21"/>
          <w:szCs w:val="21"/>
          <w:highlight w:val="none"/>
          <w:u w:val="single"/>
        </w:rPr>
        <w:t xml:space="preserve">                          </w:t>
      </w:r>
    </w:p>
    <w:p w14:paraId="471AEA3C">
      <w:pPr>
        <w:spacing w:line="560" w:lineRule="exact"/>
        <w:rPr>
          <w:rFonts w:ascii="Arial" w:hAnsi="Arial" w:cs="Arial"/>
          <w:sz w:val="21"/>
          <w:szCs w:val="21"/>
          <w:highlight w:val="none"/>
        </w:rPr>
      </w:pPr>
      <w:r>
        <w:rPr>
          <w:rFonts w:ascii="Arial" w:hAnsi="Arial" w:cs="Arial"/>
          <w:sz w:val="21"/>
          <w:szCs w:val="21"/>
          <w:highlight w:val="none"/>
        </w:rPr>
        <w:t>日期：     年    月    日</w:t>
      </w:r>
    </w:p>
    <w:p w14:paraId="0FF6CDAC">
      <w:pPr>
        <w:pStyle w:val="11"/>
        <w:ind w:firstLine="0" w:firstLineChars="0"/>
        <w:rPr>
          <w:rFonts w:hint="default"/>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CF3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8929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78929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9B9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0C38"/>
    <w:multiLevelType w:val="multilevel"/>
    <w:tmpl w:val="94E20C38"/>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tabs>
          <w:tab w:val="left" w:pos="0"/>
        </w:tabs>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FF3BF9D2"/>
    <w:multiLevelType w:val="multilevel"/>
    <w:tmpl w:val="FF3BF9D2"/>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1837EB89"/>
    <w:multiLevelType w:val="multilevel"/>
    <w:tmpl w:val="1837EB8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tabs>
          <w:tab w:val="left" w:pos="0"/>
        </w:tabs>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3">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4">
    <w:nsid w:val="53DDBE85"/>
    <w:multiLevelType w:val="singleLevel"/>
    <w:tmpl w:val="53DDBE85"/>
    <w:lvl w:ilvl="0" w:tentative="0">
      <w:start w:val="1"/>
      <w:numFmt w:val="chineseCounting"/>
      <w:suff w:val="nothing"/>
      <w:lvlText w:val="（%1）"/>
      <w:lvlJc w:val="left"/>
      <w:pPr>
        <w:ind w:left="0" w:firstLine="420"/>
      </w:pPr>
      <w:rPr>
        <w:rFonts w:hint="eastAsia"/>
      </w:rPr>
    </w:lvl>
  </w:abstractNum>
  <w:abstractNum w:abstractNumId="5">
    <w:nsid w:val="586EBC45"/>
    <w:multiLevelType w:val="multilevel"/>
    <w:tmpl w:val="586EBC45"/>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tabs>
          <w:tab w:val="left" w:pos="0"/>
        </w:tabs>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MjVhMWM2ZWQ2ZWRhMDdiYTZhMzBhZDIxZGMwYTEifQ=="/>
  </w:docVars>
  <w:rsids>
    <w:rsidRoot w:val="250E2FC7"/>
    <w:rsid w:val="00164C26"/>
    <w:rsid w:val="00232CF4"/>
    <w:rsid w:val="011949CD"/>
    <w:rsid w:val="012F2443"/>
    <w:rsid w:val="013730A5"/>
    <w:rsid w:val="0200481C"/>
    <w:rsid w:val="02A429BD"/>
    <w:rsid w:val="02BF15A4"/>
    <w:rsid w:val="02D35034"/>
    <w:rsid w:val="02E160BA"/>
    <w:rsid w:val="034E42C0"/>
    <w:rsid w:val="03546EEA"/>
    <w:rsid w:val="038B088A"/>
    <w:rsid w:val="038C592B"/>
    <w:rsid w:val="03E63D04"/>
    <w:rsid w:val="04245B63"/>
    <w:rsid w:val="05224E91"/>
    <w:rsid w:val="052D4EEB"/>
    <w:rsid w:val="05D15121"/>
    <w:rsid w:val="068B0E42"/>
    <w:rsid w:val="069074E0"/>
    <w:rsid w:val="06B01930"/>
    <w:rsid w:val="06EC66E0"/>
    <w:rsid w:val="07117EF5"/>
    <w:rsid w:val="07195727"/>
    <w:rsid w:val="073E7F19"/>
    <w:rsid w:val="076C35BE"/>
    <w:rsid w:val="076D7821"/>
    <w:rsid w:val="07FD6DF7"/>
    <w:rsid w:val="08666242"/>
    <w:rsid w:val="08D51B22"/>
    <w:rsid w:val="093305F6"/>
    <w:rsid w:val="093F2ABC"/>
    <w:rsid w:val="09FB55B8"/>
    <w:rsid w:val="0A1E4E03"/>
    <w:rsid w:val="0A3208AE"/>
    <w:rsid w:val="0A58658E"/>
    <w:rsid w:val="0A5D3D18"/>
    <w:rsid w:val="0A7B473D"/>
    <w:rsid w:val="0A7C0731"/>
    <w:rsid w:val="0AA826D6"/>
    <w:rsid w:val="0AD33E3F"/>
    <w:rsid w:val="0AFF4C34"/>
    <w:rsid w:val="0B642CE9"/>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B93D04"/>
    <w:rsid w:val="0FBC7598"/>
    <w:rsid w:val="0FD119F9"/>
    <w:rsid w:val="0FF22FB9"/>
    <w:rsid w:val="106E25B1"/>
    <w:rsid w:val="109220A6"/>
    <w:rsid w:val="10A122E9"/>
    <w:rsid w:val="10DB1DA4"/>
    <w:rsid w:val="11641DB7"/>
    <w:rsid w:val="11F50B3F"/>
    <w:rsid w:val="11FC011F"/>
    <w:rsid w:val="12274A70"/>
    <w:rsid w:val="12C50511"/>
    <w:rsid w:val="133D7BFB"/>
    <w:rsid w:val="135F6376"/>
    <w:rsid w:val="13E56991"/>
    <w:rsid w:val="14065285"/>
    <w:rsid w:val="14103A0E"/>
    <w:rsid w:val="145667C5"/>
    <w:rsid w:val="14F31658"/>
    <w:rsid w:val="15063063"/>
    <w:rsid w:val="15622156"/>
    <w:rsid w:val="1583513A"/>
    <w:rsid w:val="15981F0D"/>
    <w:rsid w:val="159E5049"/>
    <w:rsid w:val="15AA3754"/>
    <w:rsid w:val="161B48EC"/>
    <w:rsid w:val="163929C3"/>
    <w:rsid w:val="16D056D6"/>
    <w:rsid w:val="17255A22"/>
    <w:rsid w:val="172E1874"/>
    <w:rsid w:val="175D5E07"/>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B9574B"/>
    <w:rsid w:val="1BBD37C0"/>
    <w:rsid w:val="1BD23C9F"/>
    <w:rsid w:val="1C694A85"/>
    <w:rsid w:val="1C896A53"/>
    <w:rsid w:val="1D1C3400"/>
    <w:rsid w:val="1D540E0F"/>
    <w:rsid w:val="1DB21FDA"/>
    <w:rsid w:val="1DCF66E8"/>
    <w:rsid w:val="1DED55CE"/>
    <w:rsid w:val="1E6C56B1"/>
    <w:rsid w:val="1ED56B8A"/>
    <w:rsid w:val="1EE91A2B"/>
    <w:rsid w:val="1EEE0DF0"/>
    <w:rsid w:val="201C7BDE"/>
    <w:rsid w:val="206C021E"/>
    <w:rsid w:val="20783C66"/>
    <w:rsid w:val="20C242E2"/>
    <w:rsid w:val="214711F8"/>
    <w:rsid w:val="21625F55"/>
    <w:rsid w:val="21F703DC"/>
    <w:rsid w:val="221C3EC6"/>
    <w:rsid w:val="22600256"/>
    <w:rsid w:val="226E2973"/>
    <w:rsid w:val="2271461B"/>
    <w:rsid w:val="22717D6E"/>
    <w:rsid w:val="228026A7"/>
    <w:rsid w:val="22F51456"/>
    <w:rsid w:val="23983A20"/>
    <w:rsid w:val="239F090A"/>
    <w:rsid w:val="23C6233B"/>
    <w:rsid w:val="24502527"/>
    <w:rsid w:val="249A09DF"/>
    <w:rsid w:val="250E2FC7"/>
    <w:rsid w:val="26123616"/>
    <w:rsid w:val="262D044F"/>
    <w:rsid w:val="269404CF"/>
    <w:rsid w:val="26C802A5"/>
    <w:rsid w:val="26D905D7"/>
    <w:rsid w:val="26D94133"/>
    <w:rsid w:val="27501A4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C3835DF"/>
    <w:rsid w:val="2C9B7A28"/>
    <w:rsid w:val="2CC66F08"/>
    <w:rsid w:val="2CF41CC7"/>
    <w:rsid w:val="2D173C07"/>
    <w:rsid w:val="2D485B6F"/>
    <w:rsid w:val="2E07535D"/>
    <w:rsid w:val="2E304F81"/>
    <w:rsid w:val="2E5D734C"/>
    <w:rsid w:val="2F1A2EE6"/>
    <w:rsid w:val="2FA37B95"/>
    <w:rsid w:val="3014442E"/>
    <w:rsid w:val="30AE6631"/>
    <w:rsid w:val="31701B38"/>
    <w:rsid w:val="318F29B2"/>
    <w:rsid w:val="31BD2FCF"/>
    <w:rsid w:val="324E3C27"/>
    <w:rsid w:val="328F5FEE"/>
    <w:rsid w:val="32D257FE"/>
    <w:rsid w:val="335A0DFB"/>
    <w:rsid w:val="344418D4"/>
    <w:rsid w:val="344678F3"/>
    <w:rsid w:val="34C52339"/>
    <w:rsid w:val="34C72269"/>
    <w:rsid w:val="34CE54F3"/>
    <w:rsid w:val="34F605A6"/>
    <w:rsid w:val="35411821"/>
    <w:rsid w:val="360311CD"/>
    <w:rsid w:val="36814164"/>
    <w:rsid w:val="368220F2"/>
    <w:rsid w:val="368D6CE8"/>
    <w:rsid w:val="36B75CA4"/>
    <w:rsid w:val="37DC7F27"/>
    <w:rsid w:val="384652DA"/>
    <w:rsid w:val="38767769"/>
    <w:rsid w:val="391F631E"/>
    <w:rsid w:val="39967F45"/>
    <w:rsid w:val="39BC6E9D"/>
    <w:rsid w:val="3A141A1A"/>
    <w:rsid w:val="3A3E6C77"/>
    <w:rsid w:val="3ABA3D4F"/>
    <w:rsid w:val="3ABB2076"/>
    <w:rsid w:val="3B00746F"/>
    <w:rsid w:val="3B60677A"/>
    <w:rsid w:val="3B952CE7"/>
    <w:rsid w:val="3BB645EB"/>
    <w:rsid w:val="3C0A2B23"/>
    <w:rsid w:val="3C0B0AFA"/>
    <w:rsid w:val="3C125CC6"/>
    <w:rsid w:val="3C61318A"/>
    <w:rsid w:val="3C635D75"/>
    <w:rsid w:val="3CD830BD"/>
    <w:rsid w:val="3DDD0555"/>
    <w:rsid w:val="3DEE5E07"/>
    <w:rsid w:val="3E350391"/>
    <w:rsid w:val="3E412892"/>
    <w:rsid w:val="3EF1250A"/>
    <w:rsid w:val="3F312EE4"/>
    <w:rsid w:val="3F43263A"/>
    <w:rsid w:val="3F4F4175"/>
    <w:rsid w:val="3F892743"/>
    <w:rsid w:val="406B3BF6"/>
    <w:rsid w:val="40BA692C"/>
    <w:rsid w:val="414C1C7A"/>
    <w:rsid w:val="41574984"/>
    <w:rsid w:val="41BD66D4"/>
    <w:rsid w:val="41CA7043"/>
    <w:rsid w:val="41FC3266"/>
    <w:rsid w:val="4253528A"/>
    <w:rsid w:val="432B3B11"/>
    <w:rsid w:val="4355293C"/>
    <w:rsid w:val="43BC4CB6"/>
    <w:rsid w:val="44054362"/>
    <w:rsid w:val="447F4114"/>
    <w:rsid w:val="452151CC"/>
    <w:rsid w:val="45806396"/>
    <w:rsid w:val="45917B29"/>
    <w:rsid w:val="45B778DE"/>
    <w:rsid w:val="45CA13BF"/>
    <w:rsid w:val="462705C0"/>
    <w:rsid w:val="46312452"/>
    <w:rsid w:val="467E5988"/>
    <w:rsid w:val="46E464B1"/>
    <w:rsid w:val="47451645"/>
    <w:rsid w:val="47ED24C8"/>
    <w:rsid w:val="487675DC"/>
    <w:rsid w:val="48EE7ABB"/>
    <w:rsid w:val="490270E5"/>
    <w:rsid w:val="49033F5C"/>
    <w:rsid w:val="49370211"/>
    <w:rsid w:val="4950607F"/>
    <w:rsid w:val="49725FF6"/>
    <w:rsid w:val="49760503"/>
    <w:rsid w:val="499A554C"/>
    <w:rsid w:val="49CA6807"/>
    <w:rsid w:val="49CA7BE0"/>
    <w:rsid w:val="4A3C6604"/>
    <w:rsid w:val="4A3E059D"/>
    <w:rsid w:val="4AC22FAD"/>
    <w:rsid w:val="4AE41175"/>
    <w:rsid w:val="4B7755EC"/>
    <w:rsid w:val="4B850135"/>
    <w:rsid w:val="4BEB0573"/>
    <w:rsid w:val="4BF947AC"/>
    <w:rsid w:val="4C8F5111"/>
    <w:rsid w:val="4D502AF2"/>
    <w:rsid w:val="4D73015B"/>
    <w:rsid w:val="4D901F9F"/>
    <w:rsid w:val="4E0F32CE"/>
    <w:rsid w:val="4E720529"/>
    <w:rsid w:val="4EAF55F6"/>
    <w:rsid w:val="4ECB0C82"/>
    <w:rsid w:val="4F204746"/>
    <w:rsid w:val="4F227C49"/>
    <w:rsid w:val="4F7939E0"/>
    <w:rsid w:val="4FA9473B"/>
    <w:rsid w:val="503E7E98"/>
    <w:rsid w:val="50CE3319"/>
    <w:rsid w:val="51161B0F"/>
    <w:rsid w:val="513B781C"/>
    <w:rsid w:val="51556929"/>
    <w:rsid w:val="515C58A2"/>
    <w:rsid w:val="518E3BE9"/>
    <w:rsid w:val="52911BE2"/>
    <w:rsid w:val="52AF3E17"/>
    <w:rsid w:val="52CB2612"/>
    <w:rsid w:val="52ED2B91"/>
    <w:rsid w:val="534A56F4"/>
    <w:rsid w:val="53AB1707"/>
    <w:rsid w:val="53B25189"/>
    <w:rsid w:val="53DB0C3B"/>
    <w:rsid w:val="541B3C32"/>
    <w:rsid w:val="54A83213"/>
    <w:rsid w:val="54DE3429"/>
    <w:rsid w:val="550A7A2A"/>
    <w:rsid w:val="557C6D43"/>
    <w:rsid w:val="55C027DF"/>
    <w:rsid w:val="55EC35D4"/>
    <w:rsid w:val="566E649D"/>
    <w:rsid w:val="56BE6E44"/>
    <w:rsid w:val="5765363E"/>
    <w:rsid w:val="57743881"/>
    <w:rsid w:val="577575E6"/>
    <w:rsid w:val="57917F8F"/>
    <w:rsid w:val="580C4164"/>
    <w:rsid w:val="584B2834"/>
    <w:rsid w:val="58506D3B"/>
    <w:rsid w:val="589F0489"/>
    <w:rsid w:val="58BC728D"/>
    <w:rsid w:val="58E95F87"/>
    <w:rsid w:val="59CA59DA"/>
    <w:rsid w:val="5A117165"/>
    <w:rsid w:val="5A5359CF"/>
    <w:rsid w:val="5B4455B1"/>
    <w:rsid w:val="5B5E63DA"/>
    <w:rsid w:val="5B77749C"/>
    <w:rsid w:val="5BC85F49"/>
    <w:rsid w:val="5C433822"/>
    <w:rsid w:val="5C5060C3"/>
    <w:rsid w:val="5C534E4A"/>
    <w:rsid w:val="5CA644DC"/>
    <w:rsid w:val="5CA70254"/>
    <w:rsid w:val="5D4F6922"/>
    <w:rsid w:val="5DAF5613"/>
    <w:rsid w:val="5DD2630F"/>
    <w:rsid w:val="5DDE1A54"/>
    <w:rsid w:val="5DEA0290"/>
    <w:rsid w:val="5E3478C6"/>
    <w:rsid w:val="5E431B60"/>
    <w:rsid w:val="5E946D19"/>
    <w:rsid w:val="5ED86344"/>
    <w:rsid w:val="5F3758C0"/>
    <w:rsid w:val="5F42288E"/>
    <w:rsid w:val="5F645F89"/>
    <w:rsid w:val="5FB962D5"/>
    <w:rsid w:val="606C3347"/>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A23AF2"/>
    <w:rsid w:val="67C03263"/>
    <w:rsid w:val="685C1EF3"/>
    <w:rsid w:val="68A4505F"/>
    <w:rsid w:val="69623539"/>
    <w:rsid w:val="69B7787E"/>
    <w:rsid w:val="6AB778B5"/>
    <w:rsid w:val="6AE85CC0"/>
    <w:rsid w:val="6B3B2294"/>
    <w:rsid w:val="6B8C6F93"/>
    <w:rsid w:val="6BCF6E80"/>
    <w:rsid w:val="6BF15048"/>
    <w:rsid w:val="6D285749"/>
    <w:rsid w:val="6D5E7B9C"/>
    <w:rsid w:val="6DBB590E"/>
    <w:rsid w:val="6DC5678C"/>
    <w:rsid w:val="6ECF78C3"/>
    <w:rsid w:val="6ED0518A"/>
    <w:rsid w:val="6EE92007"/>
    <w:rsid w:val="6F0357BE"/>
    <w:rsid w:val="6F1E24F6"/>
    <w:rsid w:val="6F3141F7"/>
    <w:rsid w:val="6FCD36D6"/>
    <w:rsid w:val="6FDB5DF3"/>
    <w:rsid w:val="6FF944CB"/>
    <w:rsid w:val="70C8281B"/>
    <w:rsid w:val="70DB700F"/>
    <w:rsid w:val="71150210"/>
    <w:rsid w:val="713003C1"/>
    <w:rsid w:val="71593474"/>
    <w:rsid w:val="717A163C"/>
    <w:rsid w:val="719E532A"/>
    <w:rsid w:val="72B666A4"/>
    <w:rsid w:val="73C72E99"/>
    <w:rsid w:val="73CB617F"/>
    <w:rsid w:val="741D7737"/>
    <w:rsid w:val="74732A9E"/>
    <w:rsid w:val="749A44CF"/>
    <w:rsid w:val="749B0247"/>
    <w:rsid w:val="74F57957"/>
    <w:rsid w:val="750741FE"/>
    <w:rsid w:val="75742F72"/>
    <w:rsid w:val="75B82733"/>
    <w:rsid w:val="76EE2C2B"/>
    <w:rsid w:val="775B7917"/>
    <w:rsid w:val="781400F4"/>
    <w:rsid w:val="78915BE9"/>
    <w:rsid w:val="78B673FD"/>
    <w:rsid w:val="78CC652A"/>
    <w:rsid w:val="79295E21"/>
    <w:rsid w:val="793547C6"/>
    <w:rsid w:val="79686128"/>
    <w:rsid w:val="79CC3315"/>
    <w:rsid w:val="7A0D5743"/>
    <w:rsid w:val="7A170370"/>
    <w:rsid w:val="7A6510DB"/>
    <w:rsid w:val="7AA221E5"/>
    <w:rsid w:val="7AA664FD"/>
    <w:rsid w:val="7AB07CD4"/>
    <w:rsid w:val="7AF1296F"/>
    <w:rsid w:val="7BE523A9"/>
    <w:rsid w:val="7BF02C26"/>
    <w:rsid w:val="7C385132"/>
    <w:rsid w:val="7C635AEE"/>
    <w:rsid w:val="7CD12A58"/>
    <w:rsid w:val="7D7653AD"/>
    <w:rsid w:val="7D8775BA"/>
    <w:rsid w:val="7DCF1EFA"/>
    <w:rsid w:val="7E003A70"/>
    <w:rsid w:val="7E064983"/>
    <w:rsid w:val="7E476B1A"/>
    <w:rsid w:val="7E663674"/>
    <w:rsid w:val="7EC97D8B"/>
    <w:rsid w:val="7F09731F"/>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200" w:lineRule="exact"/>
      <w:ind w:firstLine="301"/>
    </w:pPr>
    <w:rPr>
      <w:spacing w:val="-4"/>
      <w:sz w:val="18"/>
    </w:rPr>
  </w:style>
  <w:style w:type="paragraph" w:styleId="4">
    <w:name w:val="Plain Text"/>
    <w:basedOn w:val="1"/>
    <w:next w:val="2"/>
    <w:qFormat/>
    <w:uiPriority w:val="0"/>
    <w:rPr>
      <w:rFonts w:ascii="宋体" w:hAnsi="Courier New"/>
      <w:kern w:val="0"/>
      <w:sz w:val="20"/>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首行缩进:  2 字符"/>
    <w:basedOn w:val="1"/>
    <w:qFormat/>
    <w:uiPriority w:val="0"/>
    <w:pPr>
      <w:spacing w:line="400" w:lineRule="exact"/>
      <w:ind w:firstLine="200" w:firstLineChars="200"/>
    </w:pPr>
    <w:rPr>
      <w:rFonts w:cs="宋体"/>
      <w:sz w:val="24"/>
    </w:r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3577</Words>
  <Characters>3738</Characters>
  <Lines>0</Lines>
  <Paragraphs>0</Paragraphs>
  <TotalTime>1</TotalTime>
  <ScaleCrop>false</ScaleCrop>
  <LinksUpToDate>false</LinksUpToDate>
  <CharactersWithSpaces>3922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2023-11-24T07:27:00Z</dcterms:created>
  <dc:creator>陌上。</dc:creator>
  <cp:lastModifiedBy>我爱熊猫</cp:lastModifiedBy>
  <dcterms:modified xsi:type="dcterms:W3CDTF">2025-01-03T07:36:37Z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3EE7B9B6F63F4875A85B07017A361233_11</vt:lpwstr>
  </property>
  <property fmtid="{D5CDD505-2E9C-101B-9397-08002B2CF9AE}" pid="4" name="KSOTemplateDocerSaveRecord">
    <vt:lpwstr>eyJoZGlkIjoiZGU1YjVhZDU1MzUyNWRiOTMyMzE0NjNmNmU1YjhmNWEiLCJ1c2VySWQiOiIyMzc0MzQyMjEifQ==</vt:lpwstr>
  </property>
</Properties>
</file>