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D408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附</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lang w:eastAsia="zh-CN"/>
        </w:rPr>
        <w:t>件</w:t>
      </w:r>
      <w:r>
        <w:rPr>
          <w:rFonts w:hint="eastAsia" w:ascii="仿宋_GB2312" w:hAnsi="仿宋_GB2312" w:eastAsia="仿宋_GB2312" w:cs="仿宋_GB2312"/>
          <w:sz w:val="32"/>
          <w:szCs w:val="40"/>
          <w:lang w:val="en-US" w:eastAsia="zh-CN"/>
        </w:rPr>
        <w:t xml:space="preserve">2       </w:t>
      </w:r>
    </w:p>
    <w:p w14:paraId="776033E2">
      <w:pPr>
        <w:spacing w:beforeLines="50" w:afterLines="100" w:line="500" w:lineRule="exact"/>
        <w:jc w:val="center"/>
        <w:rPr>
          <w:rFonts w:hint="default" w:ascii="方正小标宋_GBK" w:hAnsi="方正小标宋_GBK" w:eastAsia="方正小标宋_GBK" w:cs="方正小标宋_GBK"/>
          <w:b/>
          <w:sz w:val="40"/>
          <w:szCs w:val="40"/>
          <w:lang w:val="en-US" w:eastAsia="zh-CN"/>
        </w:rPr>
      </w:pPr>
      <w:r>
        <w:rPr>
          <w:rFonts w:hint="eastAsia" w:ascii="方正小标宋_GBK" w:hAnsi="方正小标宋_GBK" w:eastAsia="方正小标宋_GBK" w:cs="方正小标宋_GBK"/>
          <w:b/>
          <w:sz w:val="40"/>
          <w:szCs w:val="40"/>
          <w:lang w:val="en-US" w:eastAsia="zh-CN"/>
        </w:rPr>
        <w:t>中山大学附属第一医院广西医院常年法律顾问服务及各类诉讼代理服务</w:t>
      </w:r>
      <w:r>
        <w:rPr>
          <w:rFonts w:hint="eastAsia" w:ascii="方正小标宋_GBK" w:hAnsi="方正小标宋_GBK" w:eastAsia="方正小标宋_GBK" w:cs="方正小标宋_GBK"/>
          <w:b/>
          <w:sz w:val="40"/>
          <w:szCs w:val="40"/>
          <w:lang w:val="en-US" w:eastAsia="zh-CN"/>
        </w:rPr>
        <w:t>评审办法</w:t>
      </w:r>
      <w:bookmarkStart w:id="0" w:name="_GoBack"/>
      <w:bookmarkEnd w:id="0"/>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1473"/>
        <w:gridCol w:w="1318"/>
        <w:gridCol w:w="5275"/>
      </w:tblGrid>
      <w:tr w14:paraId="22E2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0" w:type="auto"/>
            <w:noWrap w:val="0"/>
            <w:vAlign w:val="center"/>
          </w:tcPr>
          <w:p w14:paraId="37738E8B">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序号</w:t>
            </w:r>
          </w:p>
        </w:tc>
        <w:tc>
          <w:tcPr>
            <w:tcW w:w="0" w:type="auto"/>
            <w:noWrap w:val="0"/>
            <w:vAlign w:val="center"/>
          </w:tcPr>
          <w:p w14:paraId="66E3846B">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lang w:eastAsia="zh-CN"/>
              </w:rPr>
              <w:t>评分</w:t>
            </w:r>
            <w:r>
              <w:rPr>
                <w:rFonts w:hint="eastAsia" w:ascii="仿宋" w:hAnsi="仿宋" w:eastAsia="仿宋" w:cs="仿宋"/>
                <w:bCs/>
                <w:color w:val="000000"/>
                <w:kern w:val="0"/>
                <w:szCs w:val="21"/>
              </w:rPr>
              <w:t>内容</w:t>
            </w:r>
          </w:p>
        </w:tc>
        <w:tc>
          <w:tcPr>
            <w:tcW w:w="1318" w:type="dxa"/>
            <w:noWrap w:val="0"/>
            <w:vAlign w:val="center"/>
          </w:tcPr>
          <w:p w14:paraId="08B57A33">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lang w:eastAsia="zh-CN"/>
              </w:rPr>
              <w:t>评分</w:t>
            </w:r>
            <w:r>
              <w:rPr>
                <w:rFonts w:hint="eastAsia" w:ascii="仿宋" w:hAnsi="仿宋" w:eastAsia="仿宋" w:cs="仿宋"/>
                <w:bCs/>
                <w:color w:val="000000"/>
                <w:kern w:val="0"/>
                <w:szCs w:val="21"/>
              </w:rPr>
              <w:t>分值（满分）</w:t>
            </w:r>
          </w:p>
        </w:tc>
        <w:tc>
          <w:tcPr>
            <w:tcW w:w="5275" w:type="dxa"/>
            <w:noWrap w:val="0"/>
            <w:vAlign w:val="center"/>
          </w:tcPr>
          <w:p w14:paraId="6FBC10B0">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评分标准</w:t>
            </w:r>
          </w:p>
        </w:tc>
      </w:tr>
      <w:tr w14:paraId="2383E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noWrap w:val="0"/>
            <w:vAlign w:val="center"/>
          </w:tcPr>
          <w:p w14:paraId="61FB211F">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w:t>
            </w:r>
          </w:p>
        </w:tc>
        <w:tc>
          <w:tcPr>
            <w:tcW w:w="0" w:type="auto"/>
            <w:noWrap w:val="0"/>
            <w:vAlign w:val="center"/>
          </w:tcPr>
          <w:p w14:paraId="0910E75A">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价格分</w:t>
            </w:r>
          </w:p>
        </w:tc>
        <w:tc>
          <w:tcPr>
            <w:tcW w:w="1318" w:type="dxa"/>
            <w:noWrap w:val="0"/>
            <w:vAlign w:val="center"/>
          </w:tcPr>
          <w:p w14:paraId="245AD5AD">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20分</w:t>
            </w:r>
          </w:p>
        </w:tc>
        <w:tc>
          <w:tcPr>
            <w:tcW w:w="5275" w:type="dxa"/>
            <w:noWrap w:val="0"/>
            <w:vAlign w:val="top"/>
          </w:tcPr>
          <w:p w14:paraId="7AAFA7AA">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1.常年法律顾问服务收费按固定报价；</w:t>
            </w:r>
          </w:p>
          <w:p w14:paraId="43B4442B">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2.各类诉讼代理服务按下浮率报价；</w:t>
            </w:r>
          </w:p>
          <w:p w14:paraId="34C4612D">
            <w:pPr>
              <w:widowControl/>
              <w:spacing w:line="380" w:lineRule="exact"/>
              <w:jc w:val="left"/>
              <w:rPr>
                <w:rFonts w:hint="eastAsia" w:ascii="仿宋" w:hAnsi="仿宋" w:eastAsia="仿宋" w:cs="仿宋"/>
                <w:bCs/>
                <w:color w:val="000000"/>
                <w:kern w:val="0"/>
                <w:szCs w:val="21"/>
                <w:lang w:eastAsia="zh-CN"/>
              </w:rPr>
            </w:pPr>
            <w:r>
              <w:rPr>
                <w:rFonts w:hint="eastAsia" w:ascii="仿宋" w:hAnsi="仿宋" w:eastAsia="仿宋" w:cs="仿宋"/>
                <w:bCs/>
                <w:color w:val="000000"/>
                <w:kern w:val="0"/>
                <w:szCs w:val="21"/>
              </w:rPr>
              <w:t>3.某报价公司价格分=（1-最高下浮率）/（1-某公司投标下浮率）×（20*70%）+（最低常年法律顾问服务报价/某公司常年法律顾问服务报价）*（20*30%）</w:t>
            </w:r>
            <w:r>
              <w:rPr>
                <w:rFonts w:hint="eastAsia" w:ascii="仿宋" w:hAnsi="仿宋" w:eastAsia="仿宋" w:cs="仿宋"/>
                <w:bCs/>
                <w:color w:val="000000"/>
                <w:kern w:val="0"/>
                <w:szCs w:val="21"/>
                <w:lang w:eastAsia="zh-CN"/>
              </w:rPr>
              <w:t>。</w:t>
            </w:r>
          </w:p>
        </w:tc>
      </w:tr>
      <w:tr w14:paraId="40D9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0" w:type="auto"/>
            <w:vMerge w:val="restart"/>
            <w:noWrap w:val="0"/>
            <w:vAlign w:val="center"/>
          </w:tcPr>
          <w:p w14:paraId="175BDD6C">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2</w:t>
            </w:r>
          </w:p>
        </w:tc>
        <w:tc>
          <w:tcPr>
            <w:tcW w:w="0" w:type="auto"/>
            <w:vMerge w:val="restart"/>
            <w:noWrap w:val="0"/>
            <w:vAlign w:val="center"/>
          </w:tcPr>
          <w:p w14:paraId="7DC6493D">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律所基本</w:t>
            </w:r>
          </w:p>
          <w:p w14:paraId="498DD513">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情况</w:t>
            </w:r>
          </w:p>
        </w:tc>
        <w:tc>
          <w:tcPr>
            <w:tcW w:w="1318" w:type="dxa"/>
            <w:vMerge w:val="restart"/>
            <w:noWrap w:val="0"/>
            <w:vAlign w:val="center"/>
          </w:tcPr>
          <w:p w14:paraId="4D425C4B">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6分</w:t>
            </w:r>
          </w:p>
        </w:tc>
        <w:tc>
          <w:tcPr>
            <w:tcW w:w="5275" w:type="dxa"/>
            <w:vMerge w:val="restart"/>
            <w:noWrap w:val="0"/>
            <w:vAlign w:val="top"/>
          </w:tcPr>
          <w:p w14:paraId="5584FAE6">
            <w:pPr>
              <w:tabs>
                <w:tab w:val="left" w:pos="0"/>
              </w:tabs>
              <w:spacing w:line="380" w:lineRule="exact"/>
              <w:rPr>
                <w:rFonts w:hint="eastAsia" w:ascii="仿宋" w:hAnsi="仿宋" w:eastAsia="仿宋" w:cs="仿宋"/>
                <w:bCs/>
                <w:color w:val="000000"/>
                <w:kern w:val="0"/>
                <w:szCs w:val="21"/>
              </w:rPr>
            </w:pPr>
            <w:r>
              <w:rPr>
                <w:rFonts w:hint="eastAsia" w:ascii="仿宋" w:hAnsi="仿宋" w:eastAsia="仿宋" w:cs="仿宋"/>
                <w:bCs/>
                <w:color w:val="000000"/>
                <w:kern w:val="0"/>
                <w:szCs w:val="21"/>
              </w:rPr>
              <w:t>1.成立时间：</w:t>
            </w:r>
          </w:p>
          <w:p w14:paraId="5FEB7C71">
            <w:pPr>
              <w:tabs>
                <w:tab w:val="left" w:pos="0"/>
              </w:tabs>
              <w:spacing w:line="380" w:lineRule="exact"/>
              <w:rPr>
                <w:rFonts w:hint="eastAsia" w:ascii="仿宋" w:hAnsi="仿宋" w:eastAsia="仿宋" w:cs="仿宋"/>
                <w:bCs/>
                <w:color w:val="000000"/>
                <w:szCs w:val="21"/>
              </w:rPr>
            </w:pPr>
            <w:r>
              <w:rPr>
                <w:rFonts w:hint="eastAsia" w:ascii="仿宋" w:hAnsi="仿宋" w:eastAsia="仿宋" w:cs="仿宋"/>
                <w:bCs/>
                <w:color w:val="000000"/>
                <w:szCs w:val="21"/>
              </w:rPr>
              <w:t>①成立≥10年得2分；</w:t>
            </w:r>
          </w:p>
          <w:p w14:paraId="059A3A86">
            <w:pPr>
              <w:tabs>
                <w:tab w:val="left" w:pos="0"/>
              </w:tabs>
              <w:spacing w:line="380" w:lineRule="exact"/>
              <w:rPr>
                <w:rFonts w:hint="eastAsia" w:ascii="仿宋" w:hAnsi="仿宋" w:eastAsia="仿宋" w:cs="仿宋"/>
                <w:bCs/>
                <w:color w:val="000000"/>
                <w:szCs w:val="21"/>
              </w:rPr>
            </w:pPr>
            <w:r>
              <w:rPr>
                <w:rFonts w:hint="eastAsia" w:ascii="仿宋" w:hAnsi="仿宋" w:eastAsia="仿宋" w:cs="仿宋"/>
                <w:bCs/>
                <w:color w:val="000000"/>
                <w:szCs w:val="21"/>
              </w:rPr>
              <w:t>②成立＜10年得1分；</w:t>
            </w:r>
          </w:p>
          <w:p w14:paraId="7CAF246F">
            <w:pPr>
              <w:tabs>
                <w:tab w:val="left" w:pos="0"/>
              </w:tabs>
              <w:spacing w:line="380" w:lineRule="exact"/>
              <w:rPr>
                <w:rFonts w:hint="eastAsia" w:ascii="仿宋" w:hAnsi="仿宋" w:eastAsia="仿宋" w:cs="仿宋"/>
                <w:bCs/>
                <w:color w:val="000000"/>
                <w:kern w:val="0"/>
                <w:szCs w:val="21"/>
              </w:rPr>
            </w:pPr>
            <w:r>
              <w:rPr>
                <w:rFonts w:hint="eastAsia" w:ascii="仿宋" w:hAnsi="仿宋" w:eastAsia="仿宋" w:cs="仿宋"/>
                <w:bCs/>
                <w:color w:val="000000"/>
                <w:szCs w:val="21"/>
              </w:rPr>
              <w:t>2.</w:t>
            </w:r>
            <w:r>
              <w:rPr>
                <w:rFonts w:hint="eastAsia" w:ascii="仿宋" w:hAnsi="仿宋" w:eastAsia="仿宋" w:cs="仿宋"/>
                <w:bCs/>
                <w:color w:val="000000"/>
                <w:kern w:val="0"/>
                <w:szCs w:val="21"/>
              </w:rPr>
              <w:t>执业律师数量（应提供在律协备案的人数及名单，否则不得分，实习律师不记在内）；</w:t>
            </w:r>
          </w:p>
          <w:p w14:paraId="6ABFE82E">
            <w:pPr>
              <w:tabs>
                <w:tab w:val="left" w:pos="0"/>
              </w:tabs>
              <w:spacing w:line="380" w:lineRule="exact"/>
              <w:rPr>
                <w:rFonts w:hint="eastAsia" w:ascii="仿宋" w:hAnsi="仿宋" w:eastAsia="仿宋" w:cs="仿宋"/>
                <w:bCs/>
                <w:color w:val="000000"/>
                <w:kern w:val="0"/>
                <w:szCs w:val="21"/>
              </w:rPr>
            </w:pPr>
            <w:r>
              <w:rPr>
                <w:rFonts w:hint="eastAsia" w:ascii="仿宋" w:hAnsi="仿宋" w:eastAsia="仿宋" w:cs="仿宋"/>
                <w:bCs/>
                <w:color w:val="000000"/>
                <w:kern w:val="0"/>
                <w:szCs w:val="21"/>
              </w:rPr>
              <w:t>①＞10人得2分；</w:t>
            </w:r>
          </w:p>
          <w:p w14:paraId="41A8C385">
            <w:pPr>
              <w:tabs>
                <w:tab w:val="left" w:pos="0"/>
              </w:tabs>
              <w:spacing w:line="380" w:lineRule="exact"/>
              <w:rPr>
                <w:rFonts w:hint="eastAsia" w:ascii="仿宋" w:hAnsi="仿宋" w:eastAsia="仿宋" w:cs="仿宋"/>
                <w:bCs/>
                <w:color w:val="000000"/>
                <w:szCs w:val="21"/>
              </w:rPr>
            </w:pPr>
            <w:r>
              <w:rPr>
                <w:rFonts w:hint="eastAsia" w:ascii="仿宋" w:hAnsi="仿宋" w:eastAsia="仿宋" w:cs="仿宋"/>
                <w:bCs/>
                <w:color w:val="000000"/>
                <w:kern w:val="0"/>
                <w:szCs w:val="21"/>
              </w:rPr>
              <w:t>②≤10人得1分；</w:t>
            </w:r>
          </w:p>
          <w:p w14:paraId="00C439D6">
            <w:pPr>
              <w:tabs>
                <w:tab w:val="left" w:pos="0"/>
              </w:tabs>
              <w:spacing w:line="380" w:lineRule="exact"/>
              <w:rPr>
                <w:rFonts w:hint="eastAsia" w:ascii="仿宋" w:hAnsi="仿宋" w:eastAsia="仿宋" w:cs="仿宋"/>
                <w:bCs/>
                <w:color w:val="000000"/>
                <w:kern w:val="0"/>
                <w:szCs w:val="21"/>
              </w:rPr>
            </w:pPr>
            <w:r>
              <w:rPr>
                <w:rFonts w:hint="eastAsia" w:ascii="仿宋" w:hAnsi="仿宋" w:eastAsia="仿宋" w:cs="仿宋"/>
                <w:bCs/>
                <w:color w:val="000000"/>
                <w:kern w:val="0"/>
                <w:szCs w:val="21"/>
              </w:rPr>
              <w:t>3.有良好的社会信誉及诚信记录，与询价方无利害关系</w:t>
            </w:r>
            <w:r>
              <w:rPr>
                <w:rFonts w:hint="eastAsia" w:ascii="仿宋" w:hAnsi="仿宋" w:eastAsia="仿宋" w:cs="仿宋"/>
                <w:bCs/>
                <w:color w:val="000000"/>
                <w:szCs w:val="21"/>
              </w:rPr>
              <w:t>，提供</w:t>
            </w:r>
            <w:r>
              <w:rPr>
                <w:rFonts w:hint="eastAsia" w:ascii="仿宋" w:hAnsi="仿宋" w:eastAsia="仿宋" w:cs="仿宋"/>
                <w:bCs/>
                <w:color w:val="000000"/>
                <w:kern w:val="0"/>
                <w:szCs w:val="21"/>
              </w:rPr>
              <w:t>社会信誉及诚信记录证明</w:t>
            </w:r>
            <w:r>
              <w:rPr>
                <w:rFonts w:hint="eastAsia" w:ascii="仿宋" w:hAnsi="仿宋" w:eastAsia="仿宋" w:cs="仿宋"/>
                <w:bCs/>
                <w:color w:val="000000"/>
                <w:szCs w:val="21"/>
              </w:rPr>
              <w:t>文件，未提供的不得分，此项满分2分；</w:t>
            </w:r>
          </w:p>
        </w:tc>
      </w:tr>
      <w:tr w14:paraId="53F45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0" w:type="auto"/>
            <w:vMerge w:val="continue"/>
            <w:noWrap w:val="0"/>
            <w:vAlign w:val="center"/>
          </w:tcPr>
          <w:p w14:paraId="14FD5190">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403C378A">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0F444988">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top"/>
          </w:tcPr>
          <w:p w14:paraId="211B3129">
            <w:pPr>
              <w:tabs>
                <w:tab w:val="left" w:pos="0"/>
              </w:tabs>
              <w:spacing w:line="380" w:lineRule="exact"/>
              <w:rPr>
                <w:rFonts w:hint="eastAsia" w:ascii="仿宋" w:hAnsi="仿宋" w:eastAsia="仿宋" w:cs="仿宋"/>
                <w:bCs/>
                <w:color w:val="000000"/>
                <w:kern w:val="0"/>
                <w:szCs w:val="21"/>
              </w:rPr>
            </w:pPr>
          </w:p>
        </w:tc>
      </w:tr>
      <w:tr w14:paraId="573E6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0" w:type="auto"/>
            <w:vMerge w:val="continue"/>
            <w:noWrap w:val="0"/>
            <w:vAlign w:val="center"/>
          </w:tcPr>
          <w:p w14:paraId="04206605">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1ADB4E1B">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23A5F237">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top"/>
          </w:tcPr>
          <w:p w14:paraId="7C192974">
            <w:pPr>
              <w:tabs>
                <w:tab w:val="left" w:pos="0"/>
              </w:tabs>
              <w:spacing w:line="380" w:lineRule="exact"/>
              <w:rPr>
                <w:rFonts w:hint="eastAsia" w:ascii="仿宋" w:hAnsi="仿宋" w:eastAsia="仿宋" w:cs="仿宋"/>
                <w:bCs/>
                <w:color w:val="000000"/>
                <w:kern w:val="0"/>
                <w:szCs w:val="21"/>
              </w:rPr>
            </w:pPr>
          </w:p>
        </w:tc>
      </w:tr>
      <w:tr w14:paraId="509C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8" w:hRule="atLeast"/>
        </w:trPr>
        <w:tc>
          <w:tcPr>
            <w:tcW w:w="0" w:type="auto"/>
            <w:vMerge w:val="restart"/>
            <w:noWrap w:val="0"/>
            <w:vAlign w:val="center"/>
          </w:tcPr>
          <w:p w14:paraId="1C5179B8">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3</w:t>
            </w:r>
          </w:p>
        </w:tc>
        <w:tc>
          <w:tcPr>
            <w:tcW w:w="0" w:type="auto"/>
            <w:vMerge w:val="restart"/>
            <w:noWrap w:val="0"/>
            <w:vAlign w:val="center"/>
          </w:tcPr>
          <w:p w14:paraId="789C3B0D">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律师服务团队</w:t>
            </w:r>
          </w:p>
        </w:tc>
        <w:tc>
          <w:tcPr>
            <w:tcW w:w="1318" w:type="dxa"/>
            <w:vMerge w:val="restart"/>
            <w:noWrap w:val="0"/>
            <w:vAlign w:val="center"/>
          </w:tcPr>
          <w:p w14:paraId="6E3AD4DC">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lang w:val="en-US" w:eastAsia="zh-CN"/>
              </w:rPr>
              <w:t>3</w:t>
            </w:r>
            <w:r>
              <w:rPr>
                <w:rFonts w:hint="eastAsia" w:ascii="仿宋" w:hAnsi="仿宋" w:eastAsia="仿宋" w:cs="仿宋"/>
                <w:bCs/>
                <w:color w:val="000000"/>
                <w:kern w:val="0"/>
                <w:szCs w:val="21"/>
              </w:rPr>
              <w:t>分</w:t>
            </w:r>
          </w:p>
        </w:tc>
        <w:tc>
          <w:tcPr>
            <w:tcW w:w="5275" w:type="dxa"/>
            <w:vMerge w:val="restart"/>
            <w:noWrap w:val="0"/>
            <w:vAlign w:val="center"/>
          </w:tcPr>
          <w:p w14:paraId="199D0E77">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1.服务团队≥3人；提供团队成员近半年来连续3个月的社保缴纳证明文件，未提供的不得分；（此项1分）</w:t>
            </w:r>
          </w:p>
          <w:p w14:paraId="342AC367">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2.服务团队中有责任律师</w:t>
            </w:r>
            <w:r>
              <w:rPr>
                <w:rFonts w:hint="eastAsia" w:ascii="仿宋" w:hAnsi="仿宋" w:eastAsia="仿宋" w:cs="仿宋"/>
                <w:bCs/>
                <w:color w:val="000000"/>
                <w:kern w:val="0"/>
                <w:szCs w:val="21"/>
                <w:lang w:val="en-US" w:eastAsia="zh-CN"/>
              </w:rPr>
              <w:t>且</w:t>
            </w:r>
            <w:r>
              <w:rPr>
                <w:rFonts w:hint="eastAsia" w:ascii="仿宋" w:hAnsi="仿宋" w:eastAsia="仿宋" w:cs="仿宋"/>
                <w:bCs/>
                <w:color w:val="000000"/>
                <w:kern w:val="0"/>
                <w:szCs w:val="21"/>
              </w:rPr>
              <w:t>符合以下要求的：（此项满分2分，如同一人同时满足下述要求，可重复计分。）：</w:t>
            </w:r>
          </w:p>
          <w:p w14:paraId="484994C2">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szCs w:val="21"/>
              </w:rPr>
              <w:t>①每有1人</w:t>
            </w:r>
            <w:r>
              <w:rPr>
                <w:rFonts w:hint="eastAsia" w:ascii="仿宋" w:hAnsi="仿宋" w:eastAsia="仿宋" w:cs="仿宋"/>
                <w:bCs/>
                <w:color w:val="000000"/>
                <w:kern w:val="0"/>
                <w:szCs w:val="21"/>
              </w:rPr>
              <w:t>为5年以上执业律师的，得1分；</w:t>
            </w:r>
          </w:p>
          <w:p w14:paraId="530ADB2F">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szCs w:val="21"/>
              </w:rPr>
              <w:t>②每有1人</w:t>
            </w:r>
            <w:r>
              <w:rPr>
                <w:rFonts w:hint="eastAsia" w:ascii="仿宋" w:hAnsi="仿宋" w:eastAsia="仿宋" w:cs="仿宋"/>
                <w:bCs/>
                <w:color w:val="000000"/>
                <w:kern w:val="0"/>
                <w:szCs w:val="21"/>
              </w:rPr>
              <w:t>为合伙人或主任律师的，得1分；</w:t>
            </w:r>
          </w:p>
          <w:p w14:paraId="2A078454">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注：</w:t>
            </w:r>
          </w:p>
          <w:p w14:paraId="5CB5D8E1">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1）提供团队成员近半年来连续3个月的社保缴纳证明文件，未提供的不得分；</w:t>
            </w:r>
          </w:p>
          <w:p w14:paraId="5FC9A33C">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2）附相关证明材料。</w:t>
            </w:r>
          </w:p>
        </w:tc>
      </w:tr>
      <w:tr w14:paraId="6D8F3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3" w:hRule="atLeast"/>
        </w:trPr>
        <w:tc>
          <w:tcPr>
            <w:tcW w:w="0" w:type="auto"/>
            <w:vMerge w:val="continue"/>
            <w:noWrap w:val="0"/>
            <w:vAlign w:val="center"/>
          </w:tcPr>
          <w:p w14:paraId="567A5B0F">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025BCF75">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0BDA1B61">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7F9C6942">
            <w:pPr>
              <w:widowControl/>
              <w:spacing w:line="380" w:lineRule="exact"/>
              <w:jc w:val="left"/>
              <w:rPr>
                <w:rFonts w:hint="eastAsia" w:ascii="仿宋" w:hAnsi="仿宋" w:eastAsia="仿宋" w:cs="仿宋"/>
                <w:bCs/>
                <w:color w:val="000000"/>
                <w:kern w:val="0"/>
                <w:szCs w:val="21"/>
              </w:rPr>
            </w:pPr>
          </w:p>
        </w:tc>
      </w:tr>
      <w:tr w14:paraId="363C1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0" w:type="auto"/>
            <w:vMerge w:val="continue"/>
            <w:noWrap w:val="0"/>
            <w:vAlign w:val="center"/>
          </w:tcPr>
          <w:p w14:paraId="1282FC12">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6057CA55">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35795D4B">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35E3FE4C">
            <w:pPr>
              <w:widowControl/>
              <w:spacing w:line="380" w:lineRule="exact"/>
              <w:jc w:val="left"/>
              <w:rPr>
                <w:rFonts w:hint="eastAsia" w:ascii="仿宋" w:hAnsi="仿宋" w:eastAsia="仿宋" w:cs="仿宋"/>
                <w:bCs/>
                <w:color w:val="000000"/>
                <w:kern w:val="0"/>
                <w:szCs w:val="21"/>
              </w:rPr>
            </w:pPr>
          </w:p>
        </w:tc>
      </w:tr>
      <w:tr w14:paraId="75BA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0" w:hRule="atLeast"/>
        </w:trPr>
        <w:tc>
          <w:tcPr>
            <w:tcW w:w="0" w:type="auto"/>
            <w:vMerge w:val="restart"/>
            <w:noWrap w:val="0"/>
            <w:vAlign w:val="center"/>
          </w:tcPr>
          <w:p w14:paraId="711F37F2">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4</w:t>
            </w:r>
          </w:p>
        </w:tc>
        <w:tc>
          <w:tcPr>
            <w:tcW w:w="0" w:type="auto"/>
            <w:vMerge w:val="restart"/>
            <w:noWrap w:val="0"/>
            <w:vAlign w:val="center"/>
          </w:tcPr>
          <w:p w14:paraId="07878CD5">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服务能力及业绩（医疗及劳务争议类、常年法律顾问常态性的服务）</w:t>
            </w:r>
          </w:p>
        </w:tc>
        <w:tc>
          <w:tcPr>
            <w:tcW w:w="1318" w:type="dxa"/>
            <w:vMerge w:val="restart"/>
            <w:noWrap w:val="0"/>
            <w:vAlign w:val="center"/>
          </w:tcPr>
          <w:p w14:paraId="3B532946">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28</w:t>
            </w:r>
            <w:r>
              <w:rPr>
                <w:rFonts w:hint="eastAsia" w:ascii="仿宋" w:hAnsi="仿宋" w:eastAsia="仿宋" w:cs="仿宋"/>
                <w:bCs/>
                <w:color w:val="000000"/>
                <w:kern w:val="0"/>
                <w:szCs w:val="21"/>
                <w:lang w:val="en-US" w:eastAsia="zh-CN"/>
              </w:rPr>
              <w:t>.5</w:t>
            </w:r>
            <w:r>
              <w:rPr>
                <w:rFonts w:hint="eastAsia" w:ascii="仿宋" w:hAnsi="仿宋" w:eastAsia="仿宋" w:cs="仿宋"/>
                <w:bCs/>
                <w:color w:val="000000"/>
                <w:kern w:val="0"/>
                <w:szCs w:val="21"/>
              </w:rPr>
              <w:t>分</w:t>
            </w:r>
          </w:p>
        </w:tc>
        <w:tc>
          <w:tcPr>
            <w:tcW w:w="5275" w:type="dxa"/>
            <w:vMerge w:val="restart"/>
            <w:noWrap w:val="0"/>
            <w:vAlign w:val="center"/>
          </w:tcPr>
          <w:p w14:paraId="6D5CAC88">
            <w:pPr>
              <w:numPr>
                <w:ilvl w:val="0"/>
                <w:numId w:val="0"/>
              </w:numPr>
              <w:tabs>
                <w:tab w:val="left" w:pos="35"/>
              </w:tabs>
              <w:spacing w:line="380" w:lineRule="exact"/>
              <w:ind w:leftChars="16"/>
              <w:rPr>
                <w:rFonts w:hint="eastAsia" w:ascii="仿宋" w:hAnsi="仿宋" w:eastAsia="仿宋" w:cs="仿宋"/>
                <w:bCs/>
                <w:color w:val="000000"/>
                <w:kern w:val="0"/>
                <w:szCs w:val="21"/>
              </w:rPr>
            </w:pPr>
            <w:r>
              <w:rPr>
                <w:rFonts w:hint="eastAsia" w:ascii="仿宋" w:hAnsi="仿宋" w:eastAsia="仿宋" w:cs="仿宋"/>
                <w:bCs/>
                <w:color w:val="000000"/>
                <w:kern w:val="0"/>
                <w:szCs w:val="21"/>
                <w:lang w:val="en-US" w:eastAsia="zh-CN"/>
              </w:rPr>
              <w:t>1.</w:t>
            </w:r>
            <w:r>
              <w:rPr>
                <w:rFonts w:hint="eastAsia" w:ascii="仿宋" w:hAnsi="仿宋" w:eastAsia="仿宋" w:cs="仿宋"/>
                <w:bCs/>
                <w:color w:val="000000"/>
                <w:kern w:val="0"/>
                <w:szCs w:val="21"/>
              </w:rPr>
              <w:t>服务团队责任律师具有的专业背景及服务能力经验（此项满分</w:t>
            </w:r>
            <w:r>
              <w:rPr>
                <w:rFonts w:hint="eastAsia" w:ascii="仿宋" w:hAnsi="仿宋" w:eastAsia="仿宋" w:cs="仿宋"/>
                <w:bCs/>
                <w:color w:val="000000"/>
                <w:kern w:val="0"/>
                <w:szCs w:val="21"/>
                <w:lang w:val="en-US" w:eastAsia="zh-CN"/>
              </w:rPr>
              <w:t>2.5</w:t>
            </w:r>
            <w:r>
              <w:rPr>
                <w:rFonts w:hint="eastAsia" w:ascii="仿宋" w:hAnsi="仿宋" w:eastAsia="仿宋" w:cs="仿宋"/>
                <w:bCs/>
                <w:color w:val="000000"/>
                <w:kern w:val="0"/>
                <w:szCs w:val="21"/>
              </w:rPr>
              <w:t>分）</w:t>
            </w:r>
          </w:p>
          <w:p w14:paraId="750D6C58">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①服务团队责任律师为律协医疗卫生专业委员会委员的，每人0.5分，满分1</w:t>
            </w:r>
            <w:r>
              <w:rPr>
                <w:rFonts w:hint="eastAsia" w:ascii="仿宋" w:hAnsi="仿宋" w:eastAsia="仿宋" w:cs="仿宋"/>
                <w:bCs/>
                <w:color w:val="000000"/>
                <w:kern w:val="0"/>
                <w:szCs w:val="21"/>
                <w:lang w:val="en-US" w:eastAsia="zh-CN"/>
              </w:rPr>
              <w:t>.5</w:t>
            </w:r>
            <w:r>
              <w:rPr>
                <w:rFonts w:hint="eastAsia" w:ascii="仿宋" w:hAnsi="仿宋" w:eastAsia="仿宋" w:cs="仿宋"/>
                <w:bCs/>
                <w:color w:val="000000"/>
                <w:kern w:val="0"/>
                <w:szCs w:val="21"/>
              </w:rPr>
              <w:t>分；</w:t>
            </w:r>
          </w:p>
          <w:p w14:paraId="18C50215">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②服务团队责任律师为律协劳动与社会保障法专业委员会委员的，每人0.5分，满分1分；</w:t>
            </w:r>
          </w:p>
          <w:p w14:paraId="138A58C2">
            <w:pPr>
              <w:spacing w:line="380" w:lineRule="exact"/>
              <w:rPr>
                <w:rFonts w:hint="eastAsia" w:ascii="仿宋" w:hAnsi="仿宋" w:eastAsia="仿宋" w:cs="仿宋"/>
                <w:bCs/>
                <w:color w:val="000000"/>
                <w:kern w:val="0"/>
                <w:szCs w:val="21"/>
              </w:rPr>
            </w:pPr>
            <w:r>
              <w:rPr>
                <w:rFonts w:hint="eastAsia" w:ascii="仿宋" w:hAnsi="仿宋" w:eastAsia="仿宋" w:cs="仿宋"/>
                <w:bCs/>
                <w:color w:val="000000"/>
                <w:kern w:val="0"/>
                <w:szCs w:val="21"/>
              </w:rPr>
              <w:t>2.近三年服务团队律师（尤其是责任律师）代理或经办的医疗、劳动或劳务等纠纷案件概况</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此项满分15分（需提供案件列表清单（格式自拟）和案件真实性承诺书，承诺“所列案件真实，</w:t>
            </w:r>
            <w:r>
              <w:rPr>
                <w:rFonts w:hint="eastAsia" w:ascii="仿宋" w:hAnsi="仿宋" w:eastAsia="仿宋" w:cs="仿宋"/>
                <w:bCs/>
                <w:color w:val="000000"/>
                <w:kern w:val="0"/>
                <w:szCs w:val="21"/>
                <w:lang w:eastAsia="zh-CN"/>
              </w:rPr>
              <w:t>医院方</w:t>
            </w:r>
            <w:r>
              <w:rPr>
                <w:rFonts w:hint="eastAsia" w:ascii="仿宋" w:hAnsi="仿宋" w:eastAsia="仿宋" w:cs="仿宋"/>
                <w:bCs/>
                <w:color w:val="000000"/>
                <w:kern w:val="0"/>
                <w:szCs w:val="21"/>
              </w:rPr>
              <w:t>签认合同前有权要求</w:t>
            </w:r>
            <w:r>
              <w:rPr>
                <w:rFonts w:hint="eastAsia" w:ascii="仿宋" w:hAnsi="仿宋" w:eastAsia="仿宋" w:cs="仿宋"/>
                <w:bCs/>
                <w:color w:val="000000"/>
                <w:kern w:val="0"/>
                <w:szCs w:val="21"/>
                <w:lang w:eastAsia="zh-CN"/>
              </w:rPr>
              <w:t>响应单位</w:t>
            </w:r>
            <w:r>
              <w:rPr>
                <w:rFonts w:hint="eastAsia" w:ascii="仿宋" w:hAnsi="仿宋" w:eastAsia="仿宋" w:cs="仿宋"/>
                <w:bCs/>
                <w:color w:val="000000"/>
                <w:kern w:val="0"/>
                <w:szCs w:val="21"/>
              </w:rPr>
              <w:t>提供案件判决书等证明材料进行核实，如无法证实其真实性，</w:t>
            </w:r>
            <w:r>
              <w:rPr>
                <w:rFonts w:hint="eastAsia" w:ascii="仿宋" w:hAnsi="仿宋" w:eastAsia="仿宋" w:cs="仿宋"/>
                <w:bCs/>
                <w:color w:val="000000"/>
                <w:kern w:val="0"/>
                <w:szCs w:val="21"/>
                <w:lang w:eastAsia="zh-CN"/>
              </w:rPr>
              <w:t>医院方</w:t>
            </w:r>
            <w:r>
              <w:rPr>
                <w:rFonts w:hint="eastAsia" w:ascii="仿宋" w:hAnsi="仿宋" w:eastAsia="仿宋" w:cs="仿宋"/>
                <w:bCs/>
                <w:color w:val="000000"/>
                <w:kern w:val="0"/>
                <w:szCs w:val="21"/>
              </w:rPr>
              <w:t>有权拒绝签订合同，</w:t>
            </w:r>
            <w:r>
              <w:rPr>
                <w:rFonts w:hint="eastAsia" w:ascii="仿宋" w:hAnsi="仿宋" w:eastAsia="仿宋" w:cs="仿宋"/>
                <w:bCs/>
                <w:color w:val="000000"/>
                <w:kern w:val="0"/>
                <w:szCs w:val="21"/>
                <w:lang w:eastAsia="zh-CN"/>
              </w:rPr>
              <w:t>响应单位</w:t>
            </w:r>
            <w:r>
              <w:rPr>
                <w:rFonts w:hint="eastAsia" w:ascii="仿宋" w:hAnsi="仿宋" w:eastAsia="仿宋" w:cs="仿宋"/>
                <w:bCs/>
                <w:color w:val="000000"/>
                <w:kern w:val="0"/>
                <w:szCs w:val="21"/>
              </w:rPr>
              <w:t>后果自负”），</w:t>
            </w:r>
            <w:r>
              <w:rPr>
                <w:rFonts w:hint="eastAsia" w:ascii="仿宋" w:hAnsi="仿宋" w:eastAsia="仿宋" w:cs="仿宋"/>
                <w:bCs/>
                <w:color w:val="000000"/>
                <w:kern w:val="0"/>
                <w:szCs w:val="21"/>
                <w:lang w:val="en-US" w:eastAsia="zh-CN"/>
              </w:rPr>
              <w:t>清单及承诺书</w:t>
            </w:r>
            <w:r>
              <w:rPr>
                <w:rFonts w:hint="eastAsia" w:ascii="仿宋" w:hAnsi="仿宋" w:eastAsia="仿宋" w:cs="仿宋"/>
                <w:bCs/>
                <w:color w:val="000000"/>
                <w:kern w:val="0"/>
                <w:szCs w:val="21"/>
              </w:rPr>
              <w:t>二者缺一未提供不得分；</w:t>
            </w:r>
          </w:p>
          <w:p w14:paraId="720F8840">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①医疗纠纷类：每个案例0.3分，满分9分；</w:t>
            </w:r>
          </w:p>
          <w:p w14:paraId="4C1799BF">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②劳动或劳务纠纷类：每个案例0.2分，满分6分；</w:t>
            </w:r>
          </w:p>
          <w:p w14:paraId="5BD23359">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3.近三年，服务团队成员中，每有1人为顾问单位审核合同量（本项最高5分）：＞1000份/年的，得5分，500-1000份/年的，得3分，＜500份/年的，得2分；</w:t>
            </w:r>
          </w:p>
          <w:p w14:paraId="6797C0C7">
            <w:pPr>
              <w:spacing w:line="380" w:lineRule="exact"/>
              <w:rPr>
                <w:rFonts w:hint="eastAsia" w:ascii="仿宋" w:hAnsi="仿宋" w:eastAsia="仿宋" w:cs="仿宋"/>
                <w:bCs/>
                <w:color w:val="000000"/>
                <w:kern w:val="0"/>
                <w:szCs w:val="21"/>
                <w:lang w:eastAsia="zh-CN"/>
              </w:rPr>
            </w:pPr>
            <w:r>
              <w:rPr>
                <w:rFonts w:hint="eastAsia" w:ascii="仿宋" w:hAnsi="仿宋" w:eastAsia="仿宋" w:cs="仿宋"/>
                <w:bCs/>
                <w:color w:val="000000"/>
                <w:kern w:val="0"/>
                <w:szCs w:val="21"/>
              </w:rPr>
              <w:t>4.近三年服务团队责任律师承担医疗单位的法律顾问的（每人每个单位计0.3分，需提供合同</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lang w:val="en-US" w:eastAsia="zh-CN"/>
              </w:rPr>
              <w:t>协议、聘书</w:t>
            </w:r>
            <w:r>
              <w:rPr>
                <w:rFonts w:hint="eastAsia" w:ascii="仿宋" w:hAnsi="仿宋" w:eastAsia="仿宋" w:cs="仿宋"/>
                <w:bCs/>
                <w:color w:val="000000"/>
                <w:kern w:val="0"/>
                <w:szCs w:val="21"/>
              </w:rPr>
              <w:t>复印件加盖公章作为证明材料，此项满分6分）</w:t>
            </w:r>
            <w:r>
              <w:rPr>
                <w:rFonts w:hint="eastAsia" w:ascii="仿宋" w:hAnsi="仿宋" w:eastAsia="仿宋" w:cs="仿宋"/>
                <w:bCs/>
                <w:color w:val="000000"/>
                <w:kern w:val="0"/>
                <w:szCs w:val="21"/>
                <w:lang w:eastAsia="zh-CN"/>
              </w:rPr>
              <w:t>。</w:t>
            </w:r>
          </w:p>
        </w:tc>
      </w:tr>
      <w:tr w14:paraId="6CE93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7" w:hRule="atLeast"/>
        </w:trPr>
        <w:tc>
          <w:tcPr>
            <w:tcW w:w="0" w:type="auto"/>
            <w:vMerge w:val="continue"/>
            <w:noWrap w:val="0"/>
            <w:vAlign w:val="center"/>
          </w:tcPr>
          <w:p w14:paraId="569D67BE">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07695EF9">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71D8561E">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67459A09">
            <w:pPr>
              <w:numPr>
                <w:ilvl w:val="0"/>
                <w:numId w:val="1"/>
              </w:numPr>
              <w:tabs>
                <w:tab w:val="left" w:pos="35"/>
                <w:tab w:val="clear" w:pos="312"/>
              </w:tabs>
              <w:spacing w:line="380" w:lineRule="exact"/>
              <w:ind w:left="35" w:leftChars="16" w:hanging="1"/>
              <w:rPr>
                <w:rFonts w:hint="eastAsia" w:ascii="仿宋" w:hAnsi="仿宋" w:eastAsia="仿宋" w:cs="仿宋"/>
                <w:bCs/>
                <w:color w:val="000000"/>
                <w:kern w:val="0"/>
                <w:szCs w:val="21"/>
              </w:rPr>
            </w:pPr>
          </w:p>
        </w:tc>
      </w:tr>
      <w:tr w14:paraId="0C014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7" w:hRule="atLeast"/>
        </w:trPr>
        <w:tc>
          <w:tcPr>
            <w:tcW w:w="0" w:type="auto"/>
            <w:vMerge w:val="continue"/>
            <w:noWrap w:val="0"/>
            <w:vAlign w:val="center"/>
          </w:tcPr>
          <w:p w14:paraId="7F1D89B4">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6A2C44ED">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4CCD7D8D">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541A168C">
            <w:pPr>
              <w:numPr>
                <w:ilvl w:val="0"/>
                <w:numId w:val="1"/>
              </w:numPr>
              <w:tabs>
                <w:tab w:val="left" w:pos="35"/>
                <w:tab w:val="clear" w:pos="312"/>
              </w:tabs>
              <w:spacing w:line="380" w:lineRule="exact"/>
              <w:ind w:left="35" w:leftChars="16" w:hanging="1"/>
              <w:rPr>
                <w:rFonts w:hint="eastAsia" w:ascii="仿宋" w:hAnsi="仿宋" w:eastAsia="仿宋" w:cs="仿宋"/>
                <w:bCs/>
                <w:color w:val="000000"/>
                <w:kern w:val="0"/>
                <w:szCs w:val="21"/>
              </w:rPr>
            </w:pPr>
          </w:p>
        </w:tc>
      </w:tr>
      <w:tr w14:paraId="490B7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7" w:hRule="atLeast"/>
        </w:trPr>
        <w:tc>
          <w:tcPr>
            <w:tcW w:w="0" w:type="auto"/>
            <w:vMerge w:val="continue"/>
            <w:noWrap w:val="0"/>
            <w:vAlign w:val="center"/>
          </w:tcPr>
          <w:p w14:paraId="7BF84A7C">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4DC07C4C">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6BEA501B">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64F2A80F">
            <w:pPr>
              <w:numPr>
                <w:ilvl w:val="0"/>
                <w:numId w:val="1"/>
              </w:numPr>
              <w:tabs>
                <w:tab w:val="left" w:pos="35"/>
                <w:tab w:val="clear" w:pos="312"/>
              </w:tabs>
              <w:spacing w:line="380" w:lineRule="exact"/>
              <w:ind w:left="35" w:leftChars="16" w:hanging="1"/>
              <w:rPr>
                <w:rFonts w:hint="eastAsia" w:ascii="仿宋" w:hAnsi="仿宋" w:eastAsia="仿宋" w:cs="仿宋"/>
                <w:bCs/>
                <w:color w:val="000000"/>
                <w:kern w:val="0"/>
                <w:szCs w:val="21"/>
              </w:rPr>
            </w:pPr>
          </w:p>
        </w:tc>
      </w:tr>
      <w:tr w14:paraId="4F4B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5" w:hRule="atLeast"/>
        </w:trPr>
        <w:tc>
          <w:tcPr>
            <w:tcW w:w="0" w:type="auto"/>
            <w:vMerge w:val="continue"/>
            <w:noWrap w:val="0"/>
            <w:vAlign w:val="center"/>
          </w:tcPr>
          <w:p w14:paraId="253B958E">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575C6C22">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7DCFB9F0">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6BDDF52A">
            <w:pPr>
              <w:numPr>
                <w:ilvl w:val="0"/>
                <w:numId w:val="1"/>
              </w:numPr>
              <w:tabs>
                <w:tab w:val="left" w:pos="35"/>
                <w:tab w:val="clear" w:pos="312"/>
              </w:tabs>
              <w:spacing w:line="380" w:lineRule="exact"/>
              <w:ind w:left="35" w:leftChars="16" w:hanging="1"/>
              <w:rPr>
                <w:rFonts w:hint="eastAsia" w:ascii="仿宋" w:hAnsi="仿宋" w:eastAsia="仿宋" w:cs="仿宋"/>
                <w:bCs/>
                <w:color w:val="000000"/>
                <w:kern w:val="0"/>
                <w:szCs w:val="21"/>
              </w:rPr>
            </w:pPr>
          </w:p>
        </w:tc>
      </w:tr>
      <w:tr w14:paraId="3814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0" w:type="auto"/>
            <w:vMerge w:val="continue"/>
            <w:noWrap w:val="0"/>
            <w:vAlign w:val="center"/>
          </w:tcPr>
          <w:p w14:paraId="7C47CC29">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7724C899">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71DFD401">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2CE73608">
            <w:pPr>
              <w:numPr>
                <w:ilvl w:val="0"/>
                <w:numId w:val="1"/>
              </w:numPr>
              <w:tabs>
                <w:tab w:val="left" w:pos="35"/>
                <w:tab w:val="clear" w:pos="312"/>
              </w:tabs>
              <w:spacing w:line="380" w:lineRule="exact"/>
              <w:ind w:left="35" w:leftChars="16" w:hanging="1"/>
              <w:rPr>
                <w:rFonts w:hint="eastAsia" w:ascii="仿宋" w:hAnsi="仿宋" w:eastAsia="仿宋" w:cs="仿宋"/>
                <w:bCs/>
                <w:color w:val="000000"/>
                <w:kern w:val="0"/>
                <w:szCs w:val="21"/>
              </w:rPr>
            </w:pPr>
          </w:p>
        </w:tc>
      </w:tr>
      <w:tr w14:paraId="5BA46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5" w:hRule="atLeast"/>
        </w:trPr>
        <w:tc>
          <w:tcPr>
            <w:tcW w:w="0" w:type="auto"/>
            <w:vMerge w:val="restart"/>
            <w:noWrap w:val="0"/>
            <w:vAlign w:val="center"/>
          </w:tcPr>
          <w:p w14:paraId="26EAD683">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5</w:t>
            </w:r>
          </w:p>
        </w:tc>
        <w:tc>
          <w:tcPr>
            <w:tcW w:w="0" w:type="auto"/>
            <w:vMerge w:val="restart"/>
            <w:noWrap w:val="0"/>
            <w:vAlign w:val="center"/>
          </w:tcPr>
          <w:p w14:paraId="179D2B81">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服务能力及业绩（建设工程类）</w:t>
            </w:r>
          </w:p>
        </w:tc>
        <w:tc>
          <w:tcPr>
            <w:tcW w:w="1318" w:type="dxa"/>
            <w:vMerge w:val="restart"/>
            <w:noWrap w:val="0"/>
            <w:vAlign w:val="center"/>
          </w:tcPr>
          <w:p w14:paraId="2759727C">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16.5分</w:t>
            </w:r>
          </w:p>
        </w:tc>
        <w:tc>
          <w:tcPr>
            <w:tcW w:w="5275" w:type="dxa"/>
            <w:vMerge w:val="restart"/>
            <w:noWrap w:val="0"/>
            <w:vAlign w:val="center"/>
          </w:tcPr>
          <w:p w14:paraId="7864F769">
            <w:pPr>
              <w:numPr>
                <w:ilvl w:val="0"/>
                <w:numId w:val="0"/>
              </w:numPr>
              <w:spacing w:line="380" w:lineRule="exact"/>
              <w:ind w:left="30" w:leftChars="0"/>
              <w:rPr>
                <w:rFonts w:hint="eastAsia" w:ascii="仿宋" w:hAnsi="仿宋" w:eastAsia="仿宋" w:cs="仿宋"/>
                <w:bCs/>
                <w:color w:val="000000"/>
                <w:kern w:val="0"/>
                <w:szCs w:val="21"/>
              </w:rPr>
            </w:pPr>
            <w:r>
              <w:rPr>
                <w:rFonts w:hint="eastAsia" w:ascii="仿宋" w:hAnsi="仿宋" w:eastAsia="仿宋" w:cs="仿宋"/>
                <w:bCs/>
                <w:color w:val="000000"/>
                <w:kern w:val="0"/>
                <w:szCs w:val="21"/>
                <w:lang w:val="en-US" w:eastAsia="zh-CN"/>
              </w:rPr>
              <w:t>1.</w:t>
            </w:r>
            <w:r>
              <w:rPr>
                <w:rFonts w:hint="eastAsia" w:ascii="仿宋" w:hAnsi="仿宋" w:eastAsia="仿宋" w:cs="仿宋"/>
                <w:bCs/>
                <w:color w:val="000000"/>
                <w:kern w:val="0"/>
                <w:szCs w:val="21"/>
              </w:rPr>
              <w:t>服务团队责任律师为律协房地产与建筑工程专业委员会委员的，每人0.5分，此项满分1.5分；</w:t>
            </w:r>
          </w:p>
          <w:p w14:paraId="52658BCC">
            <w:pPr>
              <w:widowControl/>
              <w:spacing w:line="380" w:lineRule="exact"/>
              <w:jc w:val="left"/>
              <w:rPr>
                <w:rFonts w:hint="eastAsia" w:ascii="仿宋" w:hAnsi="仿宋" w:eastAsia="仿宋" w:cs="仿宋"/>
                <w:bCs/>
                <w:color w:val="000000"/>
                <w:kern w:val="0"/>
                <w:szCs w:val="21"/>
                <w:lang w:eastAsia="zh-CN"/>
              </w:rPr>
            </w:pPr>
            <w:r>
              <w:rPr>
                <w:rFonts w:hint="eastAsia" w:ascii="仿宋" w:hAnsi="仿宋" w:eastAsia="仿宋" w:cs="仿宋"/>
                <w:bCs/>
                <w:color w:val="000000"/>
                <w:kern w:val="0"/>
                <w:szCs w:val="21"/>
              </w:rPr>
              <w:t>2.近三年服务团队律师（尤其是责任律师）代理或经办的建设工程类纠纷案件概况，每个案例0.3分，此项满分9分（集体诉讼类案件按1个案例计算）；（需提供案件列表清单（格式自拟）和案件真实性承诺书，承诺“所列案件真实，</w:t>
            </w:r>
            <w:r>
              <w:rPr>
                <w:rFonts w:hint="eastAsia" w:ascii="仿宋" w:hAnsi="仿宋" w:eastAsia="仿宋" w:cs="仿宋"/>
                <w:bCs/>
                <w:color w:val="000000"/>
                <w:kern w:val="0"/>
                <w:szCs w:val="21"/>
                <w:lang w:eastAsia="zh-CN"/>
              </w:rPr>
              <w:t>医院方</w:t>
            </w:r>
            <w:r>
              <w:rPr>
                <w:rFonts w:hint="eastAsia" w:ascii="仿宋" w:hAnsi="仿宋" w:eastAsia="仿宋" w:cs="仿宋"/>
                <w:bCs/>
                <w:color w:val="000000"/>
                <w:kern w:val="0"/>
                <w:szCs w:val="21"/>
              </w:rPr>
              <w:t>签认合同前有权要求</w:t>
            </w:r>
            <w:r>
              <w:rPr>
                <w:rFonts w:hint="eastAsia" w:ascii="仿宋" w:hAnsi="仿宋" w:eastAsia="仿宋" w:cs="仿宋"/>
                <w:bCs/>
                <w:color w:val="000000"/>
                <w:kern w:val="0"/>
                <w:szCs w:val="21"/>
                <w:lang w:eastAsia="zh-CN"/>
              </w:rPr>
              <w:t>响应单位</w:t>
            </w:r>
            <w:r>
              <w:rPr>
                <w:rFonts w:hint="eastAsia" w:ascii="仿宋" w:hAnsi="仿宋" w:eastAsia="仿宋" w:cs="仿宋"/>
                <w:bCs/>
                <w:color w:val="000000"/>
                <w:kern w:val="0"/>
                <w:szCs w:val="21"/>
              </w:rPr>
              <w:t>提供案件判决书等证明材料进行核实，如无法证实其真实性，</w:t>
            </w:r>
            <w:r>
              <w:rPr>
                <w:rFonts w:hint="eastAsia" w:ascii="仿宋" w:hAnsi="仿宋" w:eastAsia="仿宋" w:cs="仿宋"/>
                <w:bCs/>
                <w:color w:val="000000"/>
                <w:kern w:val="0"/>
                <w:szCs w:val="21"/>
                <w:lang w:eastAsia="zh-CN"/>
              </w:rPr>
              <w:t>医院方</w:t>
            </w:r>
            <w:r>
              <w:rPr>
                <w:rFonts w:hint="eastAsia" w:ascii="仿宋" w:hAnsi="仿宋" w:eastAsia="仿宋" w:cs="仿宋"/>
                <w:bCs/>
                <w:color w:val="000000"/>
                <w:kern w:val="0"/>
                <w:szCs w:val="21"/>
              </w:rPr>
              <w:t>有权拒绝签订合同，</w:t>
            </w:r>
            <w:r>
              <w:rPr>
                <w:rFonts w:hint="eastAsia" w:ascii="仿宋" w:hAnsi="仿宋" w:eastAsia="仿宋" w:cs="仿宋"/>
                <w:bCs/>
                <w:color w:val="000000"/>
                <w:kern w:val="0"/>
                <w:szCs w:val="21"/>
                <w:lang w:eastAsia="zh-CN"/>
              </w:rPr>
              <w:t>响应单位</w:t>
            </w:r>
            <w:r>
              <w:rPr>
                <w:rFonts w:hint="eastAsia" w:ascii="仿宋" w:hAnsi="仿宋" w:eastAsia="仿宋" w:cs="仿宋"/>
                <w:bCs/>
                <w:color w:val="000000"/>
                <w:kern w:val="0"/>
                <w:szCs w:val="21"/>
              </w:rPr>
              <w:t>后果自负”）</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lang w:val="en-US" w:eastAsia="zh-CN"/>
              </w:rPr>
              <w:t>清单及承诺书</w:t>
            </w:r>
            <w:r>
              <w:rPr>
                <w:rFonts w:hint="eastAsia" w:ascii="仿宋" w:hAnsi="仿宋" w:eastAsia="仿宋" w:cs="仿宋"/>
                <w:bCs/>
                <w:color w:val="000000"/>
                <w:kern w:val="0"/>
                <w:szCs w:val="21"/>
              </w:rPr>
              <w:t>二者缺一未提供不得分</w:t>
            </w:r>
            <w:r>
              <w:rPr>
                <w:rFonts w:hint="eastAsia" w:ascii="仿宋" w:hAnsi="仿宋" w:eastAsia="仿宋" w:cs="仿宋"/>
                <w:bCs/>
                <w:color w:val="000000"/>
                <w:kern w:val="0"/>
                <w:szCs w:val="21"/>
                <w:lang w:eastAsia="zh-CN"/>
              </w:rPr>
              <w:t>；</w:t>
            </w:r>
          </w:p>
          <w:p w14:paraId="0A0902E1">
            <w:pPr>
              <w:spacing w:line="380" w:lineRule="exact"/>
              <w:ind w:firstLine="31" w:firstLineChars="15"/>
              <w:rPr>
                <w:rFonts w:hint="eastAsia" w:ascii="仿宋" w:hAnsi="仿宋" w:eastAsia="仿宋" w:cs="仿宋"/>
                <w:bCs/>
                <w:color w:val="000000"/>
                <w:kern w:val="0"/>
                <w:szCs w:val="21"/>
              </w:rPr>
            </w:pPr>
            <w:r>
              <w:rPr>
                <w:rFonts w:hint="eastAsia" w:ascii="仿宋" w:hAnsi="仿宋" w:eastAsia="仿宋" w:cs="仿宋"/>
                <w:bCs/>
                <w:color w:val="000000"/>
                <w:kern w:val="0"/>
                <w:szCs w:val="21"/>
              </w:rPr>
              <w:t>3.近三年服务团队责任律师承担建设工程相关单位的法律顾问经验（每个单位0.3分，需提供合同</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lang w:val="en-US" w:eastAsia="zh-CN"/>
              </w:rPr>
              <w:t>协议、聘书</w:t>
            </w:r>
            <w:r>
              <w:rPr>
                <w:rFonts w:hint="eastAsia" w:ascii="仿宋" w:hAnsi="仿宋" w:eastAsia="仿宋" w:cs="仿宋"/>
                <w:bCs/>
                <w:color w:val="000000"/>
                <w:kern w:val="0"/>
                <w:szCs w:val="21"/>
              </w:rPr>
              <w:t>复印件加盖公章作为证明材料，此项满分6分）。</w:t>
            </w:r>
          </w:p>
        </w:tc>
      </w:tr>
      <w:tr w14:paraId="400B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5" w:hRule="atLeast"/>
        </w:trPr>
        <w:tc>
          <w:tcPr>
            <w:tcW w:w="0" w:type="auto"/>
            <w:vMerge w:val="continue"/>
            <w:noWrap w:val="0"/>
            <w:vAlign w:val="center"/>
          </w:tcPr>
          <w:p w14:paraId="13786074">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5C3A1B37">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7BBF45ED">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34BE98C3">
            <w:pPr>
              <w:numPr>
                <w:ilvl w:val="0"/>
                <w:numId w:val="2"/>
              </w:numPr>
              <w:spacing w:line="380" w:lineRule="exact"/>
              <w:rPr>
                <w:rFonts w:hint="eastAsia" w:ascii="仿宋" w:hAnsi="仿宋" w:eastAsia="仿宋" w:cs="仿宋"/>
                <w:bCs/>
                <w:color w:val="000000"/>
                <w:kern w:val="0"/>
                <w:szCs w:val="21"/>
              </w:rPr>
            </w:pPr>
          </w:p>
        </w:tc>
      </w:tr>
      <w:tr w14:paraId="5D0EE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0" w:type="auto"/>
            <w:vMerge w:val="continue"/>
            <w:noWrap w:val="0"/>
            <w:vAlign w:val="center"/>
          </w:tcPr>
          <w:p w14:paraId="485559C7">
            <w:pPr>
              <w:tabs>
                <w:tab w:val="left" w:pos="0"/>
              </w:tabs>
              <w:spacing w:line="380" w:lineRule="exact"/>
              <w:jc w:val="center"/>
              <w:rPr>
                <w:rFonts w:hint="eastAsia" w:ascii="仿宋" w:hAnsi="仿宋" w:eastAsia="仿宋" w:cs="仿宋"/>
                <w:bCs/>
                <w:color w:val="000000"/>
                <w:kern w:val="0"/>
                <w:szCs w:val="21"/>
              </w:rPr>
            </w:pPr>
          </w:p>
        </w:tc>
        <w:tc>
          <w:tcPr>
            <w:tcW w:w="0" w:type="auto"/>
            <w:vMerge w:val="continue"/>
            <w:noWrap w:val="0"/>
            <w:vAlign w:val="center"/>
          </w:tcPr>
          <w:p w14:paraId="7F252AA0">
            <w:pPr>
              <w:tabs>
                <w:tab w:val="left" w:pos="0"/>
              </w:tabs>
              <w:spacing w:line="380" w:lineRule="exact"/>
              <w:jc w:val="center"/>
              <w:rPr>
                <w:rFonts w:hint="eastAsia" w:ascii="仿宋" w:hAnsi="仿宋" w:eastAsia="仿宋" w:cs="仿宋"/>
                <w:bCs/>
                <w:color w:val="000000"/>
                <w:kern w:val="0"/>
                <w:szCs w:val="21"/>
              </w:rPr>
            </w:pPr>
          </w:p>
        </w:tc>
        <w:tc>
          <w:tcPr>
            <w:tcW w:w="1318" w:type="dxa"/>
            <w:vMerge w:val="continue"/>
            <w:noWrap w:val="0"/>
            <w:vAlign w:val="center"/>
          </w:tcPr>
          <w:p w14:paraId="327F6822">
            <w:pPr>
              <w:tabs>
                <w:tab w:val="left" w:pos="0"/>
              </w:tabs>
              <w:spacing w:line="380" w:lineRule="exact"/>
              <w:jc w:val="center"/>
              <w:rPr>
                <w:rFonts w:hint="eastAsia" w:ascii="仿宋" w:hAnsi="仿宋" w:eastAsia="仿宋" w:cs="仿宋"/>
                <w:bCs/>
                <w:color w:val="000000"/>
                <w:kern w:val="0"/>
                <w:szCs w:val="21"/>
              </w:rPr>
            </w:pPr>
          </w:p>
        </w:tc>
        <w:tc>
          <w:tcPr>
            <w:tcW w:w="5275" w:type="dxa"/>
            <w:vMerge w:val="continue"/>
            <w:noWrap w:val="0"/>
            <w:vAlign w:val="center"/>
          </w:tcPr>
          <w:p w14:paraId="0D145ADA">
            <w:pPr>
              <w:numPr>
                <w:ilvl w:val="0"/>
                <w:numId w:val="2"/>
              </w:numPr>
              <w:spacing w:line="380" w:lineRule="exact"/>
              <w:rPr>
                <w:rFonts w:hint="eastAsia" w:ascii="仿宋" w:hAnsi="仿宋" w:eastAsia="仿宋" w:cs="仿宋"/>
                <w:bCs/>
                <w:color w:val="000000"/>
                <w:kern w:val="0"/>
                <w:szCs w:val="21"/>
              </w:rPr>
            </w:pPr>
          </w:p>
        </w:tc>
      </w:tr>
      <w:tr w14:paraId="12707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0" w:type="auto"/>
            <w:noWrap w:val="0"/>
            <w:vAlign w:val="center"/>
          </w:tcPr>
          <w:p w14:paraId="00F5A4FC">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6</w:t>
            </w:r>
          </w:p>
        </w:tc>
        <w:tc>
          <w:tcPr>
            <w:tcW w:w="0" w:type="auto"/>
            <w:noWrap w:val="0"/>
            <w:vAlign w:val="center"/>
          </w:tcPr>
          <w:p w14:paraId="126ECBFC">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服务方案</w:t>
            </w:r>
          </w:p>
        </w:tc>
        <w:tc>
          <w:tcPr>
            <w:tcW w:w="1318" w:type="dxa"/>
            <w:noWrap w:val="0"/>
            <w:vAlign w:val="center"/>
          </w:tcPr>
          <w:p w14:paraId="57DB71FD">
            <w:pPr>
              <w:tabs>
                <w:tab w:val="left" w:pos="0"/>
              </w:tabs>
              <w:spacing w:line="380" w:lineRule="exact"/>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26分</w:t>
            </w:r>
          </w:p>
        </w:tc>
        <w:tc>
          <w:tcPr>
            <w:tcW w:w="5275" w:type="dxa"/>
            <w:noWrap w:val="0"/>
            <w:vAlign w:val="top"/>
          </w:tcPr>
          <w:p w14:paraId="296C23B7">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根据服务方案的完整性、可行性、适宜性，相比较打分，包括但不限于以下项目：</w:t>
            </w:r>
          </w:p>
          <w:p w14:paraId="5CDA68B6">
            <w:pPr>
              <w:widowControl/>
              <w:numPr>
                <w:ilvl w:val="0"/>
                <w:numId w:val="3"/>
              </w:numPr>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工作总体思路以及保障措施；</w:t>
            </w:r>
          </w:p>
          <w:p w14:paraId="4A7C75B9">
            <w:pPr>
              <w:widowControl/>
              <w:numPr>
                <w:ilvl w:val="0"/>
                <w:numId w:val="3"/>
              </w:numPr>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法律顾问服务流程；</w:t>
            </w:r>
          </w:p>
          <w:p w14:paraId="70F38266">
            <w:pPr>
              <w:widowControl/>
              <w:numPr>
                <w:ilvl w:val="0"/>
                <w:numId w:val="3"/>
              </w:numPr>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综合团队服务能力、专人对接承诺及响应能力；</w:t>
            </w:r>
          </w:p>
          <w:p w14:paraId="4A2CD354">
            <w:pPr>
              <w:widowControl/>
              <w:numPr>
                <w:ilvl w:val="0"/>
                <w:numId w:val="3"/>
              </w:numPr>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法律专项服务工作流程及期限承诺；</w:t>
            </w:r>
          </w:p>
          <w:p w14:paraId="025341EA">
            <w:pPr>
              <w:widowControl/>
              <w:numPr>
                <w:ilvl w:val="0"/>
                <w:numId w:val="3"/>
              </w:numPr>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我司有利于本项目开展的社会资源概况简述。</w:t>
            </w:r>
          </w:p>
          <w:p w14:paraId="217FC470">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此项满分26分，评分分为三档</w:t>
            </w:r>
          </w:p>
          <w:p w14:paraId="6D710426">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一档（9分）评定范围为：方案基本符合项目要求，服务方案内容简单，综合评定一般；</w:t>
            </w:r>
          </w:p>
          <w:p w14:paraId="29BCE13B">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二档（18分）评定范围为：方案大部分符合项目要求，服务方案内容较详细具体、应对机制较完善，内部防范和控制风险较好，可行性较高，综合评定良好；</w:t>
            </w:r>
          </w:p>
          <w:p w14:paraId="09A054E9">
            <w:pPr>
              <w:widowControl/>
              <w:spacing w:line="380" w:lineRule="exact"/>
              <w:jc w:val="left"/>
              <w:rPr>
                <w:rFonts w:hint="eastAsia" w:ascii="仿宋" w:hAnsi="仿宋" w:eastAsia="仿宋" w:cs="仿宋"/>
                <w:bCs/>
                <w:color w:val="000000"/>
                <w:kern w:val="0"/>
                <w:szCs w:val="21"/>
              </w:rPr>
            </w:pPr>
            <w:r>
              <w:rPr>
                <w:rFonts w:hint="eastAsia" w:ascii="仿宋" w:hAnsi="仿宋" w:eastAsia="仿宋" w:cs="仿宋"/>
                <w:bCs/>
                <w:color w:val="000000"/>
                <w:kern w:val="0"/>
                <w:szCs w:val="21"/>
              </w:rPr>
              <w:t>三档（26分）评定范围为：方案完全符合项目要求，服务方案详细具体、应对机制完善，分析全面并具有可操作性，内部防范和控制风险佳，且可行性高，综合评定优秀。</w:t>
            </w:r>
          </w:p>
        </w:tc>
      </w:tr>
    </w:tbl>
    <w:p w14:paraId="1F978595">
      <w:pPr>
        <w:spacing w:line="520" w:lineRule="exact"/>
        <w:jc w:val="left"/>
        <w:rPr>
          <w:rFonts w:ascii="仿宋" w:hAnsi="仿宋" w:eastAsia="仿宋" w:cs="仿宋"/>
          <w:sz w:val="28"/>
          <w:szCs w:val="28"/>
        </w:rPr>
      </w:pPr>
    </w:p>
    <w:p w14:paraId="7DCF173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40"/>
          <w:lang w:val="en-US" w:eastAsia="zh-CN"/>
        </w:rPr>
      </w:pPr>
    </w:p>
    <w:p w14:paraId="6B13914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ED7CE"/>
    <w:multiLevelType w:val="singleLevel"/>
    <w:tmpl w:val="9BDED7CE"/>
    <w:lvl w:ilvl="0" w:tentative="0">
      <w:start w:val="1"/>
      <w:numFmt w:val="decimal"/>
      <w:suff w:val="nothing"/>
      <w:lvlText w:val="（%1）"/>
      <w:lvlJc w:val="left"/>
    </w:lvl>
  </w:abstractNum>
  <w:abstractNum w:abstractNumId="1">
    <w:nsid w:val="F25F08E0"/>
    <w:multiLevelType w:val="singleLevel"/>
    <w:tmpl w:val="F25F08E0"/>
    <w:lvl w:ilvl="0" w:tentative="0">
      <w:start w:val="1"/>
      <w:numFmt w:val="decimal"/>
      <w:lvlText w:val="%1."/>
      <w:lvlJc w:val="left"/>
      <w:pPr>
        <w:tabs>
          <w:tab w:val="left" w:pos="312"/>
        </w:tabs>
      </w:pPr>
    </w:lvl>
  </w:abstractNum>
  <w:abstractNum w:abstractNumId="2">
    <w:nsid w:val="6F5F03BE"/>
    <w:multiLevelType w:val="singleLevel"/>
    <w:tmpl w:val="6F5F03BE"/>
    <w:lvl w:ilvl="0" w:tentative="0">
      <w:start w:val="1"/>
      <w:numFmt w:val="decimal"/>
      <w:lvlText w:val="%1."/>
      <w:lvlJc w:val="left"/>
      <w:pPr>
        <w:tabs>
          <w:tab w:val="left" w:pos="312"/>
        </w:tabs>
        <w:ind w:left="3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3EAF744D"/>
    <w:rsid w:val="3EAF744D"/>
    <w:rsid w:val="4C5C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1594</Words>
  <Characters>1671</Characters>
  <Lines>0</Lines>
  <Paragraphs>0</Paragraphs>
  <TotalTime>0</TotalTime>
  <ScaleCrop>false</ScaleCrop>
  <LinksUpToDate>false</LinksUpToDate>
  <CharactersWithSpaces>1679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2024-08-15T08:02:00Z</dcterms:created>
  <dc:creator>秋秋</dc:creator>
  <cp:lastModifiedBy>秋秋</cp:lastModifiedBy>
  <dcterms:modified xsi:type="dcterms:W3CDTF">2024-08-15T08:45:02Z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64B896D47882451B9D53698214454BEA_11</vt:lpwstr>
  </property>
</Properties>
</file>