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DC26C">
      <w:pPr>
        <w:pStyle w:val="16"/>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baseline"/>
        <w:rPr>
          <w:rFonts w:hint="eastAsia" w:ascii="宋体" w:hAnsi="宋体" w:eastAsia="宋体" w:cs="宋体"/>
          <w:b/>
          <w:bCs/>
          <w:sz w:val="44"/>
          <w:szCs w:val="44"/>
          <w:lang w:val="en-US" w:eastAsia="zh-CN"/>
        </w:rPr>
      </w:pPr>
      <w:bookmarkStart w:id="0" w:name="_GoBack"/>
      <w:r>
        <w:rPr>
          <w:rFonts w:hint="eastAsia" w:ascii="宋体" w:hAnsi="宋体" w:cs="宋体"/>
          <w:b/>
          <w:bCs/>
          <w:sz w:val="44"/>
          <w:szCs w:val="44"/>
          <w:lang w:val="en-US" w:eastAsia="zh-CN"/>
        </w:rPr>
        <w:t>中山大学附属第一医院广西医院健康管理中心自助装订一体机院内采购</w:t>
      </w:r>
      <w:r>
        <w:rPr>
          <w:rFonts w:hint="eastAsia" w:ascii="宋体" w:hAnsi="宋体" w:eastAsia="宋体" w:cs="宋体"/>
          <w:b/>
          <w:bCs/>
          <w:sz w:val="44"/>
          <w:szCs w:val="44"/>
        </w:rPr>
        <w:t>评分</w:t>
      </w:r>
      <w:r>
        <w:rPr>
          <w:rFonts w:hint="eastAsia" w:ascii="宋体" w:hAnsi="宋体" w:cs="宋体"/>
          <w:b/>
          <w:bCs/>
          <w:sz w:val="44"/>
          <w:szCs w:val="44"/>
          <w:lang w:val="en-US" w:eastAsia="zh-CN"/>
        </w:rPr>
        <w:t>标准</w:t>
      </w:r>
    </w:p>
    <w:bookmarkEnd w:id="0"/>
    <w:tbl>
      <w:tblPr>
        <w:tblStyle w:val="14"/>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375"/>
        <w:gridCol w:w="737"/>
        <w:gridCol w:w="6744"/>
      </w:tblGrid>
      <w:tr w14:paraId="5BD1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EA52902">
            <w:pPr>
              <w:jc w:val="center"/>
              <w:rPr>
                <w:highlight w:val="none"/>
              </w:rPr>
            </w:pPr>
            <w:r>
              <w:rPr>
                <w:rFonts w:hint="eastAsia" w:ascii="宋体" w:hAnsi="宋体"/>
                <w:b/>
                <w:highlight w:val="none"/>
              </w:rPr>
              <w:t>名称</w:t>
            </w:r>
          </w:p>
        </w:tc>
        <w:tc>
          <w:tcPr>
            <w:tcW w:w="1375" w:type="dxa"/>
            <w:vAlign w:val="center"/>
          </w:tcPr>
          <w:p w14:paraId="3FA163D5">
            <w:pPr>
              <w:jc w:val="center"/>
              <w:rPr>
                <w:highlight w:val="none"/>
              </w:rPr>
            </w:pPr>
            <w:r>
              <w:rPr>
                <w:rFonts w:hint="eastAsia" w:ascii="宋体" w:hAnsi="宋体"/>
                <w:b/>
                <w:highlight w:val="none"/>
              </w:rPr>
              <w:t>评分</w:t>
            </w:r>
            <w:r>
              <w:rPr>
                <w:rFonts w:ascii="宋体" w:hAnsi="宋体"/>
                <w:b/>
                <w:highlight w:val="none"/>
              </w:rPr>
              <w:t>项目</w:t>
            </w:r>
          </w:p>
        </w:tc>
        <w:tc>
          <w:tcPr>
            <w:tcW w:w="737" w:type="dxa"/>
            <w:vAlign w:val="center"/>
          </w:tcPr>
          <w:p w14:paraId="65DFC300">
            <w:pPr>
              <w:jc w:val="center"/>
              <w:rPr>
                <w:rFonts w:hint="eastAsia" w:eastAsia="宋体"/>
                <w:highlight w:val="none"/>
                <w:lang w:eastAsia="zh-CN"/>
              </w:rPr>
            </w:pPr>
            <w:r>
              <w:rPr>
                <w:rFonts w:hint="eastAsia" w:ascii="宋体" w:hAnsi="宋体"/>
                <w:b/>
                <w:highlight w:val="none"/>
                <w:lang w:val="en-US" w:eastAsia="zh-CN"/>
              </w:rPr>
              <w:t>分值</w:t>
            </w:r>
          </w:p>
        </w:tc>
        <w:tc>
          <w:tcPr>
            <w:tcW w:w="6744" w:type="dxa"/>
            <w:vAlign w:val="center"/>
          </w:tcPr>
          <w:p w14:paraId="4B7DE963">
            <w:pPr>
              <w:jc w:val="center"/>
              <w:rPr>
                <w:highlight w:val="none"/>
              </w:rPr>
            </w:pPr>
            <w:r>
              <w:rPr>
                <w:rFonts w:hint="eastAsia" w:ascii="宋体" w:hAnsi="宋体"/>
                <w:b/>
                <w:highlight w:val="none"/>
              </w:rPr>
              <w:t>评分标准</w:t>
            </w:r>
          </w:p>
        </w:tc>
      </w:tr>
      <w:tr w14:paraId="178E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64B4477A">
            <w:pPr>
              <w:jc w:val="center"/>
              <w:rPr>
                <w:rFonts w:ascii="宋体" w:hAnsi="宋体"/>
                <w:b/>
                <w:highlight w:val="none"/>
              </w:rPr>
            </w:pPr>
            <w:r>
              <w:rPr>
                <w:rFonts w:hint="eastAsia" w:ascii="宋体" w:hAnsi="宋体"/>
                <w:b/>
                <w:highlight w:val="none"/>
              </w:rPr>
              <w:t>价格部分</w:t>
            </w:r>
          </w:p>
          <w:p w14:paraId="7F331557">
            <w:pPr>
              <w:jc w:val="center"/>
              <w:rPr>
                <w:highlight w:val="none"/>
              </w:rPr>
            </w:pPr>
            <w:r>
              <w:rPr>
                <w:rFonts w:hint="eastAsia" w:ascii="宋体" w:hAnsi="宋体"/>
                <w:b/>
                <w:highlight w:val="none"/>
              </w:rPr>
              <w:t>（</w:t>
            </w:r>
            <w:r>
              <w:rPr>
                <w:rFonts w:hint="eastAsia" w:ascii="宋体" w:hAnsi="宋体"/>
                <w:b/>
                <w:highlight w:val="none"/>
                <w:lang w:val="en-US" w:eastAsia="zh-CN"/>
              </w:rPr>
              <w:t>3</w:t>
            </w:r>
            <w:r>
              <w:rPr>
                <w:rFonts w:hint="eastAsia" w:ascii="宋体" w:hAnsi="宋体"/>
                <w:b/>
                <w:highlight w:val="none"/>
              </w:rPr>
              <w:t>0分</w:t>
            </w:r>
            <w:r>
              <w:rPr>
                <w:rFonts w:ascii="宋体" w:hAnsi="宋体"/>
                <w:b/>
                <w:highlight w:val="none"/>
              </w:rPr>
              <w:t>）</w:t>
            </w:r>
          </w:p>
        </w:tc>
        <w:tc>
          <w:tcPr>
            <w:tcW w:w="1375" w:type="dxa"/>
            <w:vAlign w:val="center"/>
          </w:tcPr>
          <w:p w14:paraId="53D2126E">
            <w:pPr>
              <w:jc w:val="center"/>
              <w:rPr>
                <w:highlight w:val="none"/>
              </w:rPr>
            </w:pPr>
            <w:r>
              <w:rPr>
                <w:rFonts w:hint="eastAsia" w:ascii="宋体" w:hAnsi="宋体"/>
                <w:bCs/>
                <w:highlight w:val="none"/>
                <w:lang w:eastAsia="zh-CN"/>
              </w:rPr>
              <w:t>响应</w:t>
            </w:r>
            <w:r>
              <w:rPr>
                <w:rFonts w:hint="eastAsia" w:ascii="宋体" w:hAnsi="宋体"/>
                <w:bCs/>
                <w:highlight w:val="none"/>
              </w:rPr>
              <w:t>报价</w:t>
            </w:r>
          </w:p>
        </w:tc>
        <w:tc>
          <w:tcPr>
            <w:tcW w:w="737" w:type="dxa"/>
            <w:vAlign w:val="center"/>
          </w:tcPr>
          <w:p w14:paraId="1447AD18">
            <w:pPr>
              <w:jc w:val="center"/>
              <w:rPr>
                <w:rFonts w:hint="eastAsia" w:eastAsia="宋体"/>
                <w:highlight w:val="none"/>
                <w:lang w:val="en-US" w:eastAsia="zh-CN"/>
              </w:rPr>
            </w:pPr>
            <w:r>
              <w:rPr>
                <w:rFonts w:hint="eastAsia" w:ascii="宋体" w:hAnsi="宋体"/>
                <w:highlight w:val="none"/>
                <w:lang w:val="en-US" w:eastAsia="zh-CN"/>
              </w:rPr>
              <w:t>3</w:t>
            </w:r>
            <w:r>
              <w:rPr>
                <w:rFonts w:ascii="宋体" w:hAnsi="宋体"/>
                <w:highlight w:val="none"/>
              </w:rPr>
              <w:t>0</w:t>
            </w:r>
            <w:r>
              <w:rPr>
                <w:rFonts w:hint="eastAsia" w:ascii="宋体" w:hAnsi="宋体"/>
                <w:highlight w:val="none"/>
                <w:lang w:val="en-US" w:eastAsia="zh-CN"/>
              </w:rPr>
              <w:t>分</w:t>
            </w:r>
          </w:p>
        </w:tc>
        <w:tc>
          <w:tcPr>
            <w:tcW w:w="6744" w:type="dxa"/>
            <w:vAlign w:val="center"/>
          </w:tcPr>
          <w:p w14:paraId="60B49CFB">
            <w:pPr>
              <w:snapToGrid w:val="0"/>
              <w:spacing w:line="300" w:lineRule="auto"/>
              <w:rPr>
                <w:rFonts w:ascii="宋体" w:hAnsi="宋体"/>
                <w:highlight w:val="none"/>
              </w:rPr>
            </w:pPr>
            <w:r>
              <w:rPr>
                <w:rFonts w:hint="eastAsia" w:ascii="宋体" w:hAnsi="宋体"/>
                <w:highlight w:val="none"/>
              </w:rPr>
              <w:t>1.以评委会一致认定满足</w:t>
            </w:r>
            <w:r>
              <w:rPr>
                <w:rFonts w:hint="eastAsia" w:ascii="宋体" w:hAnsi="宋体"/>
                <w:highlight w:val="none"/>
                <w:lang w:eastAsia="zh-CN"/>
              </w:rPr>
              <w:t>响应文件</w:t>
            </w:r>
            <w:r>
              <w:rPr>
                <w:rFonts w:hint="eastAsia" w:ascii="宋体" w:hAnsi="宋体"/>
                <w:highlight w:val="none"/>
              </w:rPr>
              <w:t>要求且</w:t>
            </w:r>
            <w:r>
              <w:rPr>
                <w:rFonts w:hint="eastAsia" w:ascii="宋体" w:hAnsi="宋体"/>
                <w:highlight w:val="none"/>
                <w:lang w:eastAsia="zh-CN"/>
              </w:rPr>
              <w:t>响应</w:t>
            </w:r>
            <w:r>
              <w:rPr>
                <w:rFonts w:hint="eastAsia" w:ascii="宋体" w:hAnsi="宋体"/>
                <w:highlight w:val="none"/>
              </w:rPr>
              <w:t>价格最低的</w:t>
            </w:r>
            <w:r>
              <w:rPr>
                <w:rFonts w:hint="eastAsia" w:ascii="宋体" w:hAnsi="宋体"/>
                <w:highlight w:val="none"/>
                <w:lang w:eastAsia="zh-CN"/>
              </w:rPr>
              <w:t>响应</w:t>
            </w:r>
            <w:r>
              <w:rPr>
                <w:rFonts w:hint="eastAsia" w:ascii="宋体" w:hAnsi="宋体"/>
                <w:highlight w:val="none"/>
              </w:rPr>
              <w:t>报价为评标基准价，其价格分为满分。其他供应商的价格分统一按照下列公式计算：</w:t>
            </w:r>
          </w:p>
          <w:p w14:paraId="1A8F009B">
            <w:pPr>
              <w:snapToGrid w:val="0"/>
              <w:spacing w:line="300" w:lineRule="auto"/>
              <w:rPr>
                <w:rFonts w:ascii="宋体" w:hAnsi="宋体"/>
                <w:highlight w:val="none"/>
              </w:rPr>
            </w:pPr>
            <w:r>
              <w:rPr>
                <w:rFonts w:hint="eastAsia" w:ascii="宋体" w:hAnsi="宋体"/>
                <w:highlight w:val="none"/>
                <w:lang w:eastAsia="zh-CN"/>
              </w:rPr>
              <w:t>响应</w:t>
            </w:r>
            <w:r>
              <w:rPr>
                <w:rFonts w:hint="eastAsia" w:ascii="宋体" w:hAnsi="宋体"/>
                <w:highlight w:val="none"/>
              </w:rPr>
              <w:t>报价得分=（评标基准价/</w:t>
            </w:r>
            <w:r>
              <w:rPr>
                <w:rFonts w:hint="eastAsia" w:ascii="宋体" w:hAnsi="宋体"/>
                <w:highlight w:val="none"/>
                <w:lang w:eastAsia="zh-CN"/>
              </w:rPr>
              <w:t>响应</w:t>
            </w:r>
            <w:r>
              <w:rPr>
                <w:rFonts w:hint="eastAsia" w:ascii="宋体" w:hAnsi="宋体"/>
                <w:highlight w:val="none"/>
              </w:rPr>
              <w:t>报价）×30；</w:t>
            </w:r>
          </w:p>
          <w:p w14:paraId="6908A3B3">
            <w:pPr>
              <w:snapToGrid w:val="0"/>
              <w:spacing w:line="300" w:lineRule="auto"/>
              <w:rPr>
                <w:highlight w:val="none"/>
              </w:rPr>
            </w:pPr>
            <w:r>
              <w:rPr>
                <w:rFonts w:hint="eastAsia" w:ascii="宋体" w:hAnsi="宋体"/>
                <w:highlight w:val="none"/>
              </w:rPr>
              <w:t>2.得分保留至小数点后两位，第三位四舍五入。</w:t>
            </w:r>
          </w:p>
        </w:tc>
      </w:tr>
      <w:tr w14:paraId="05C9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restart"/>
            <w:vAlign w:val="center"/>
          </w:tcPr>
          <w:p w14:paraId="7EB93BA6">
            <w:pPr>
              <w:jc w:val="center"/>
              <w:rPr>
                <w:rFonts w:ascii="宋体" w:hAnsi="宋体"/>
                <w:b/>
                <w:highlight w:val="none"/>
              </w:rPr>
            </w:pPr>
            <w:r>
              <w:rPr>
                <w:rFonts w:hint="eastAsia" w:ascii="宋体" w:hAnsi="宋体"/>
                <w:b/>
                <w:highlight w:val="none"/>
              </w:rPr>
              <w:t>技术部分</w:t>
            </w:r>
          </w:p>
          <w:p w14:paraId="628E468C">
            <w:pPr>
              <w:rPr>
                <w:highlight w:val="none"/>
              </w:rPr>
            </w:pPr>
            <w:r>
              <w:rPr>
                <w:rFonts w:hint="eastAsia" w:ascii="宋体" w:hAnsi="宋体"/>
                <w:b/>
                <w:highlight w:val="none"/>
              </w:rPr>
              <w:t>（</w:t>
            </w:r>
            <w:r>
              <w:rPr>
                <w:rFonts w:hint="eastAsia" w:ascii="宋体" w:hAnsi="宋体"/>
                <w:b/>
                <w:highlight w:val="none"/>
                <w:lang w:val="en-US" w:eastAsia="zh-CN"/>
              </w:rPr>
              <w:t>50</w:t>
            </w:r>
            <w:r>
              <w:rPr>
                <w:rFonts w:hint="eastAsia" w:ascii="宋体" w:hAnsi="宋体"/>
                <w:b/>
                <w:highlight w:val="none"/>
              </w:rPr>
              <w:t>分</w:t>
            </w:r>
            <w:r>
              <w:rPr>
                <w:rFonts w:ascii="宋体" w:hAnsi="宋体"/>
                <w:b/>
                <w:highlight w:val="none"/>
              </w:rPr>
              <w:t>）</w:t>
            </w:r>
          </w:p>
        </w:tc>
        <w:tc>
          <w:tcPr>
            <w:tcW w:w="1375" w:type="dxa"/>
            <w:vAlign w:val="center"/>
          </w:tcPr>
          <w:p w14:paraId="3526AAFE">
            <w:pPr>
              <w:jc w:val="center"/>
              <w:rPr>
                <w:highlight w:val="none"/>
              </w:rPr>
            </w:pPr>
            <w:r>
              <w:rPr>
                <w:rFonts w:hint="eastAsia" w:ascii="宋体" w:hAnsi="宋体"/>
                <w:bCs/>
                <w:highlight w:val="none"/>
              </w:rPr>
              <w:t>对所投产品技术参数、技术指标响应程度的评价</w:t>
            </w:r>
          </w:p>
        </w:tc>
        <w:tc>
          <w:tcPr>
            <w:tcW w:w="737" w:type="dxa"/>
            <w:vAlign w:val="center"/>
          </w:tcPr>
          <w:p w14:paraId="31B9EA70">
            <w:pPr>
              <w:jc w:val="center"/>
              <w:rPr>
                <w:rFonts w:hint="default" w:eastAsia="宋体"/>
                <w:highlight w:val="none"/>
                <w:lang w:val="en-US" w:eastAsia="zh-CN"/>
              </w:rPr>
            </w:pPr>
            <w:r>
              <w:rPr>
                <w:rFonts w:hint="eastAsia" w:ascii="宋体" w:hAnsi="宋体"/>
                <w:highlight w:val="none"/>
                <w:lang w:val="en-US" w:eastAsia="zh-CN"/>
              </w:rPr>
              <w:t>35分</w:t>
            </w:r>
          </w:p>
        </w:tc>
        <w:tc>
          <w:tcPr>
            <w:tcW w:w="6744" w:type="dxa"/>
          </w:tcPr>
          <w:p w14:paraId="09B42D95">
            <w:pPr>
              <w:widowControl/>
              <w:tabs>
                <w:tab w:val="left" w:pos="1988"/>
              </w:tabs>
              <w:snapToGrid w:val="0"/>
              <w:spacing w:line="300" w:lineRule="auto"/>
              <w:jc w:val="left"/>
              <w:rPr>
                <w:highlight w:val="none"/>
              </w:rPr>
            </w:pPr>
            <w:r>
              <w:rPr>
                <w:rFonts w:hint="eastAsia" w:ascii="宋体" w:hAnsi="宋体"/>
                <w:highlight w:val="none"/>
                <w:lang w:eastAsia="zh-CN"/>
              </w:rPr>
              <w:t>响应</w:t>
            </w:r>
            <w:r>
              <w:rPr>
                <w:rFonts w:hint="eastAsia" w:ascii="宋体" w:hAnsi="宋体"/>
                <w:highlight w:val="none"/>
              </w:rPr>
              <w:t>人应如实填写《技术规格偏离表》，评审委员会根据技术需求参数响应情况进行打分，各项技术参数指标及要求全部满足的得3</w:t>
            </w:r>
            <w:r>
              <w:rPr>
                <w:rFonts w:hint="eastAsia" w:ascii="宋体" w:hAnsi="宋体"/>
                <w:highlight w:val="none"/>
                <w:lang w:val="en-US" w:eastAsia="zh-CN"/>
              </w:rPr>
              <w:t>5</w:t>
            </w:r>
            <w:r>
              <w:rPr>
                <w:rFonts w:hint="eastAsia" w:ascii="宋体" w:hAnsi="宋体"/>
                <w:highlight w:val="none"/>
              </w:rPr>
              <w:t>分，带“</w:t>
            </w:r>
            <w:r>
              <w:rPr>
                <w:rFonts w:hint="eastAsia" w:ascii="宋体" w:hAnsi="宋体"/>
                <w:highlight w:val="none"/>
                <w:lang w:eastAsia="zh-CN"/>
              </w:rPr>
              <w:t>▲</w:t>
            </w:r>
            <w:r>
              <w:rPr>
                <w:rFonts w:hint="eastAsia" w:ascii="宋体" w:hAnsi="宋体"/>
                <w:highlight w:val="none"/>
              </w:rPr>
              <w:t>”指标项</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lang w:val="en-US" w:eastAsia="zh-CN"/>
                <w14:textFill>
                  <w14:solidFill>
                    <w14:schemeClr w14:val="tx1"/>
                  </w14:solidFill>
                </w14:textFill>
              </w:rPr>
              <w:t>实质性</w:t>
            </w:r>
            <w:r>
              <w:rPr>
                <w:rFonts w:hint="eastAsia" w:ascii="宋体" w:hAnsi="宋体"/>
                <w:color w:val="000000" w:themeColor="text1"/>
                <w:highlight w:val="none"/>
                <w14:textFill>
                  <w14:solidFill>
                    <w14:schemeClr w14:val="tx1"/>
                  </w14:solidFill>
                </w14:textFill>
              </w:rPr>
              <w:t>，出现</w:t>
            </w:r>
            <w:r>
              <w:rPr>
                <w:rFonts w:hint="eastAsia" w:ascii="宋体" w:hAnsi="宋体"/>
                <w:highlight w:val="none"/>
              </w:rPr>
              <w:t>负偏离，作</w:t>
            </w:r>
            <w:r>
              <w:rPr>
                <w:rFonts w:hint="eastAsia" w:ascii="宋体" w:hAnsi="宋体"/>
                <w:highlight w:val="none"/>
                <w:lang w:eastAsia="zh-CN"/>
              </w:rPr>
              <w:t>响应</w:t>
            </w:r>
            <w:r>
              <w:rPr>
                <w:rFonts w:hint="eastAsia" w:ascii="宋体" w:hAnsi="宋体"/>
                <w:highlight w:val="none"/>
              </w:rPr>
              <w:t>无效处理，带“</w:t>
            </w:r>
            <w:r>
              <w:rPr>
                <w:rFonts w:hint="eastAsia" w:ascii="宋体" w:hAnsi="宋体"/>
                <w:highlight w:val="none"/>
                <w:lang w:eastAsia="zh-CN"/>
              </w:rPr>
              <w:t>*</w:t>
            </w:r>
            <w:r>
              <w:rPr>
                <w:rFonts w:hint="eastAsia" w:ascii="宋体" w:hAnsi="宋体"/>
                <w:highlight w:val="none"/>
              </w:rPr>
              <w:t>”指标项为重要参数，每负偏离一项扣5分，其他一般参数每负偏离一项扣1分，扣完为止。</w:t>
            </w:r>
          </w:p>
        </w:tc>
      </w:tr>
      <w:tr w14:paraId="46F6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14:paraId="18EF64B4">
            <w:pPr>
              <w:rPr>
                <w:highlight w:val="none"/>
              </w:rPr>
            </w:pPr>
          </w:p>
        </w:tc>
        <w:tc>
          <w:tcPr>
            <w:tcW w:w="1375" w:type="dxa"/>
            <w:vAlign w:val="center"/>
          </w:tcPr>
          <w:p w14:paraId="2048F008">
            <w:pPr>
              <w:jc w:val="center"/>
              <w:rPr>
                <w:highlight w:val="none"/>
              </w:rPr>
            </w:pPr>
            <w:r>
              <w:rPr>
                <w:rFonts w:hint="eastAsia" w:ascii="宋体" w:hAnsi="宋体"/>
                <w:bCs/>
                <w:kern w:val="0"/>
                <w:highlight w:val="none"/>
              </w:rPr>
              <w:t>实施方案</w:t>
            </w:r>
          </w:p>
        </w:tc>
        <w:tc>
          <w:tcPr>
            <w:tcW w:w="737" w:type="dxa"/>
            <w:vAlign w:val="center"/>
          </w:tcPr>
          <w:p w14:paraId="26FEDE22">
            <w:pPr>
              <w:jc w:val="center"/>
              <w:rPr>
                <w:rFonts w:hint="eastAsia" w:eastAsia="宋体"/>
                <w:highlight w:val="none"/>
                <w:lang w:eastAsia="zh-CN"/>
              </w:rPr>
            </w:pPr>
            <w:r>
              <w:rPr>
                <w:rFonts w:ascii="宋体" w:hAnsi="宋体"/>
                <w:highlight w:val="none"/>
              </w:rPr>
              <w:t>1</w:t>
            </w:r>
            <w:r>
              <w:rPr>
                <w:rFonts w:hint="eastAsia" w:ascii="宋体" w:hAnsi="宋体"/>
                <w:highlight w:val="none"/>
                <w:lang w:val="en-US" w:eastAsia="zh-CN"/>
              </w:rPr>
              <w:t>2分</w:t>
            </w:r>
          </w:p>
        </w:tc>
        <w:tc>
          <w:tcPr>
            <w:tcW w:w="6744" w:type="dxa"/>
            <w:vAlign w:val="center"/>
          </w:tcPr>
          <w:p w14:paraId="00947E35">
            <w:pPr>
              <w:snapToGrid w:val="0"/>
              <w:spacing w:line="300" w:lineRule="auto"/>
              <w:jc w:val="left"/>
              <w:rPr>
                <w:rFonts w:ascii="宋体" w:hAnsi="宋体"/>
                <w:bCs/>
                <w:highlight w:val="none"/>
              </w:rPr>
            </w:pPr>
            <w:r>
              <w:rPr>
                <w:rFonts w:hint="eastAsia" w:ascii="宋体" w:hAnsi="宋体"/>
                <w:b/>
                <w:highlight w:val="none"/>
              </w:rPr>
              <w:t>评审内容：</w:t>
            </w:r>
            <w:r>
              <w:rPr>
                <w:rFonts w:hint="eastAsia" w:ascii="宋体" w:hAnsi="宋体"/>
                <w:bCs/>
                <w:highlight w:val="none"/>
              </w:rPr>
              <w:t>根据项目管理和实施方案情况（重点考察工作措施、工作方法、工作手段、工作流程等措施）进行评分。</w:t>
            </w:r>
          </w:p>
          <w:p w14:paraId="1411AA67">
            <w:pPr>
              <w:snapToGrid w:val="0"/>
              <w:spacing w:line="300" w:lineRule="auto"/>
              <w:jc w:val="left"/>
              <w:rPr>
                <w:rFonts w:ascii="宋体" w:hAnsi="宋体"/>
                <w:bCs/>
                <w:highlight w:val="none"/>
              </w:rPr>
            </w:pPr>
            <w:r>
              <w:rPr>
                <w:rFonts w:hint="eastAsia" w:ascii="宋体" w:hAnsi="宋体"/>
                <w:bCs/>
                <w:highlight w:val="none"/>
              </w:rPr>
              <w:t>优评分标准：项目实施方案内容全面、具体，针对性强、科学合理、可操作性强。</w:t>
            </w:r>
          </w:p>
          <w:p w14:paraId="2E2F46C2">
            <w:pPr>
              <w:snapToGrid w:val="0"/>
              <w:spacing w:line="300" w:lineRule="auto"/>
              <w:jc w:val="left"/>
              <w:rPr>
                <w:rFonts w:ascii="宋体" w:hAnsi="宋体"/>
                <w:bCs/>
                <w:highlight w:val="none"/>
              </w:rPr>
            </w:pPr>
            <w:r>
              <w:rPr>
                <w:rFonts w:hint="eastAsia" w:ascii="宋体" w:hAnsi="宋体"/>
                <w:bCs/>
                <w:highlight w:val="none"/>
              </w:rPr>
              <w:t>良评分标准：项目实施方案内容较全面、具体，针对性较强、较科学合理、可操作性较强。</w:t>
            </w:r>
          </w:p>
          <w:p w14:paraId="174A854F">
            <w:pPr>
              <w:snapToGrid w:val="0"/>
              <w:spacing w:line="300" w:lineRule="auto"/>
              <w:jc w:val="left"/>
              <w:rPr>
                <w:rFonts w:ascii="宋体" w:hAnsi="宋体"/>
                <w:bCs/>
                <w:highlight w:val="none"/>
              </w:rPr>
            </w:pPr>
            <w:r>
              <w:rPr>
                <w:rFonts w:hint="eastAsia" w:ascii="宋体" w:hAnsi="宋体"/>
                <w:bCs/>
                <w:highlight w:val="none"/>
              </w:rPr>
              <w:t>中评分标准：项目实施方案一般，针对性一般、科学合理性一般、可操作性一般。</w:t>
            </w:r>
          </w:p>
          <w:p w14:paraId="2FC10D8B">
            <w:pPr>
              <w:snapToGrid w:val="0"/>
              <w:spacing w:line="300" w:lineRule="auto"/>
              <w:jc w:val="left"/>
              <w:rPr>
                <w:rFonts w:ascii="宋体" w:hAnsi="宋体"/>
                <w:bCs/>
                <w:highlight w:val="none"/>
              </w:rPr>
            </w:pPr>
            <w:r>
              <w:rPr>
                <w:rFonts w:hint="eastAsia" w:ascii="宋体" w:hAnsi="宋体"/>
                <w:bCs/>
                <w:highlight w:val="none"/>
              </w:rPr>
              <w:t>差评分标准：项目实施方案较差，针对性差、科学合理性差、可操作性差，以及未提供者。</w:t>
            </w:r>
          </w:p>
          <w:p w14:paraId="2491E24B">
            <w:pPr>
              <w:snapToGrid w:val="0"/>
              <w:spacing w:line="300" w:lineRule="auto"/>
              <w:rPr>
                <w:highlight w:val="none"/>
              </w:rPr>
            </w:pPr>
            <w:r>
              <w:rPr>
                <w:rFonts w:hint="eastAsia" w:ascii="宋体" w:hAnsi="宋体"/>
                <w:bCs/>
                <w:highlight w:val="none"/>
              </w:rPr>
              <w:t>评价为优得</w:t>
            </w:r>
            <w:r>
              <w:rPr>
                <w:rFonts w:ascii="宋体" w:hAnsi="宋体"/>
                <w:bCs/>
                <w:highlight w:val="none"/>
              </w:rPr>
              <w:t>1</w:t>
            </w:r>
            <w:r>
              <w:rPr>
                <w:rFonts w:hint="eastAsia" w:ascii="宋体" w:hAnsi="宋体"/>
                <w:bCs/>
                <w:highlight w:val="none"/>
                <w:lang w:val="en-US" w:eastAsia="zh-CN"/>
              </w:rPr>
              <w:t>2</w:t>
            </w:r>
            <w:r>
              <w:rPr>
                <w:rFonts w:hint="eastAsia" w:ascii="宋体" w:hAnsi="宋体"/>
                <w:bCs/>
                <w:highlight w:val="none"/>
              </w:rPr>
              <w:t>分；评价为良得</w:t>
            </w:r>
            <w:r>
              <w:rPr>
                <w:rFonts w:hint="eastAsia" w:ascii="宋体" w:hAnsi="宋体"/>
                <w:bCs/>
                <w:highlight w:val="none"/>
                <w:lang w:val="en-US" w:eastAsia="zh-CN"/>
              </w:rPr>
              <w:t>8</w:t>
            </w:r>
            <w:r>
              <w:rPr>
                <w:rFonts w:hint="eastAsia" w:ascii="宋体" w:hAnsi="宋体"/>
                <w:bCs/>
                <w:highlight w:val="none"/>
              </w:rPr>
              <w:t>分；评价为中得</w:t>
            </w:r>
            <w:r>
              <w:rPr>
                <w:rFonts w:hint="eastAsia" w:ascii="宋体" w:hAnsi="宋体"/>
                <w:bCs/>
                <w:highlight w:val="none"/>
                <w:lang w:val="en-US" w:eastAsia="zh-CN"/>
              </w:rPr>
              <w:t>4</w:t>
            </w:r>
            <w:r>
              <w:rPr>
                <w:rFonts w:hint="eastAsia" w:ascii="宋体" w:hAnsi="宋体"/>
                <w:bCs/>
                <w:highlight w:val="none"/>
              </w:rPr>
              <w:t>分；评价为差不得分</w:t>
            </w:r>
            <w:r>
              <w:rPr>
                <w:rFonts w:hint="eastAsia" w:ascii="宋体" w:hAnsi="宋体"/>
                <w:highlight w:val="none"/>
              </w:rPr>
              <w:t>。</w:t>
            </w:r>
          </w:p>
        </w:tc>
      </w:tr>
      <w:tr w14:paraId="2B7B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14:paraId="4EF50D3E">
            <w:pPr>
              <w:rPr>
                <w:highlight w:val="none"/>
              </w:rPr>
            </w:pPr>
          </w:p>
        </w:tc>
        <w:tc>
          <w:tcPr>
            <w:tcW w:w="1375" w:type="dxa"/>
            <w:vAlign w:val="center"/>
          </w:tcPr>
          <w:p w14:paraId="713D2151">
            <w:pPr>
              <w:jc w:val="center"/>
              <w:rPr>
                <w:highlight w:val="none"/>
              </w:rPr>
            </w:pPr>
            <w:r>
              <w:rPr>
                <w:rFonts w:hint="eastAsia" w:ascii="宋体" w:hAnsi="宋体"/>
                <w:bCs/>
                <w:highlight w:val="none"/>
              </w:rPr>
              <w:t>售后服务方案</w:t>
            </w:r>
          </w:p>
        </w:tc>
        <w:tc>
          <w:tcPr>
            <w:tcW w:w="737" w:type="dxa"/>
            <w:vAlign w:val="center"/>
          </w:tcPr>
          <w:p w14:paraId="4039C01B">
            <w:pPr>
              <w:jc w:val="center"/>
              <w:rPr>
                <w:rFonts w:hint="eastAsia" w:eastAsia="宋体"/>
                <w:highlight w:val="none"/>
                <w:lang w:eastAsia="zh-CN"/>
              </w:rPr>
            </w:pPr>
            <w:r>
              <w:rPr>
                <w:rFonts w:hint="eastAsia" w:ascii="宋体" w:hAnsi="宋体"/>
                <w:highlight w:val="none"/>
                <w:lang w:val="en-US" w:eastAsia="zh-CN"/>
              </w:rPr>
              <w:t>8分</w:t>
            </w:r>
          </w:p>
        </w:tc>
        <w:tc>
          <w:tcPr>
            <w:tcW w:w="6744" w:type="dxa"/>
            <w:vAlign w:val="center"/>
          </w:tcPr>
          <w:p w14:paraId="111FC193">
            <w:pPr>
              <w:snapToGrid w:val="0"/>
              <w:spacing w:line="300" w:lineRule="auto"/>
              <w:rPr>
                <w:rFonts w:ascii="宋体" w:hAnsi="宋体"/>
                <w:highlight w:val="none"/>
              </w:rPr>
            </w:pPr>
            <w:r>
              <w:rPr>
                <w:rFonts w:hint="eastAsia" w:ascii="宋体" w:hAnsi="宋体"/>
                <w:highlight w:val="none"/>
              </w:rPr>
              <w:t>提供针对本项目的售后服务方案，根据项目实际情况包含但不限于：</w:t>
            </w:r>
          </w:p>
          <w:p w14:paraId="2B0416B6">
            <w:pPr>
              <w:snapToGrid w:val="0"/>
              <w:spacing w:line="300" w:lineRule="auto"/>
              <w:rPr>
                <w:rFonts w:ascii="宋体" w:hAnsi="宋体"/>
                <w:highlight w:val="none"/>
              </w:rPr>
            </w:pPr>
            <w:r>
              <w:rPr>
                <w:rFonts w:hint="eastAsia" w:ascii="宋体" w:hAnsi="宋体"/>
                <w:highlight w:val="none"/>
              </w:rPr>
              <w:t>1.故障服务方案完善、合理且充分满足项目要求的，计</w:t>
            </w:r>
            <w:r>
              <w:rPr>
                <w:rFonts w:hint="eastAsia" w:ascii="宋体" w:hAnsi="宋体"/>
                <w:highlight w:val="none"/>
                <w:lang w:val="en-US" w:eastAsia="zh-CN"/>
              </w:rPr>
              <w:t>3</w:t>
            </w:r>
            <w:r>
              <w:rPr>
                <w:rFonts w:hint="eastAsia" w:ascii="宋体" w:hAnsi="宋体"/>
                <w:highlight w:val="none"/>
              </w:rPr>
              <w:t>分，有缺漏或表述不准确的地方或不合理的每处扣1分，扣完为止。</w:t>
            </w:r>
          </w:p>
          <w:p w14:paraId="525E7941">
            <w:pPr>
              <w:snapToGrid w:val="0"/>
              <w:spacing w:line="300" w:lineRule="auto"/>
              <w:rPr>
                <w:rFonts w:ascii="宋体" w:hAnsi="宋体"/>
                <w:highlight w:val="none"/>
              </w:rPr>
            </w:pPr>
            <w:r>
              <w:rPr>
                <w:rFonts w:hint="eastAsia" w:ascii="宋体" w:hAnsi="宋体"/>
                <w:highlight w:val="none"/>
              </w:rPr>
              <w:t>2.日常服务方案完善、合理且充分满足项目要求的，计3分，有缺漏或表述不准确的地方或不合理的每处扣1分，扣完为止。</w:t>
            </w:r>
          </w:p>
          <w:p w14:paraId="51F28645">
            <w:pPr>
              <w:snapToGrid w:val="0"/>
              <w:spacing w:line="300" w:lineRule="auto"/>
              <w:rPr>
                <w:highlight w:val="none"/>
              </w:rPr>
            </w:pPr>
            <w:r>
              <w:rPr>
                <w:rFonts w:hint="eastAsia" w:ascii="宋体" w:hAnsi="宋体"/>
                <w:highlight w:val="none"/>
              </w:rPr>
              <w:t>3.应急响应方案完善、合理且充分满足项目要求的，计</w:t>
            </w:r>
            <w:r>
              <w:rPr>
                <w:rFonts w:hint="eastAsia" w:ascii="宋体" w:hAnsi="宋体"/>
                <w:highlight w:val="none"/>
                <w:lang w:val="en-US" w:eastAsia="zh-CN"/>
              </w:rPr>
              <w:t>2</w:t>
            </w:r>
            <w:r>
              <w:rPr>
                <w:rFonts w:hint="eastAsia" w:ascii="宋体" w:hAnsi="宋体"/>
                <w:highlight w:val="none"/>
              </w:rPr>
              <w:t>分，有缺漏或表述不准确的地方或不合理的每处扣1分，扣完为止。</w:t>
            </w:r>
          </w:p>
        </w:tc>
      </w:tr>
      <w:tr w14:paraId="1E8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restart"/>
            <w:vAlign w:val="center"/>
          </w:tcPr>
          <w:p w14:paraId="48D8444B">
            <w:pPr>
              <w:jc w:val="center"/>
              <w:rPr>
                <w:rFonts w:ascii="宋体" w:hAnsi="宋体"/>
                <w:b/>
                <w:highlight w:val="none"/>
              </w:rPr>
            </w:pPr>
            <w:r>
              <w:rPr>
                <w:rFonts w:hint="eastAsia" w:ascii="宋体" w:hAnsi="宋体"/>
                <w:b/>
                <w:highlight w:val="none"/>
              </w:rPr>
              <w:t>商务部分</w:t>
            </w:r>
          </w:p>
          <w:p w14:paraId="683D6A54">
            <w:pPr>
              <w:rPr>
                <w:highlight w:val="none"/>
              </w:rPr>
            </w:pPr>
            <w:r>
              <w:rPr>
                <w:rFonts w:hint="eastAsia" w:ascii="宋体" w:hAnsi="宋体"/>
                <w:b/>
                <w:highlight w:val="none"/>
              </w:rPr>
              <w:t>（</w:t>
            </w:r>
            <w:r>
              <w:rPr>
                <w:rFonts w:hint="eastAsia" w:ascii="宋体" w:hAnsi="宋体"/>
                <w:b/>
                <w:highlight w:val="none"/>
                <w:lang w:val="en-US" w:eastAsia="zh-CN"/>
              </w:rPr>
              <w:t>15</w:t>
            </w:r>
            <w:r>
              <w:rPr>
                <w:rFonts w:hint="eastAsia" w:ascii="宋体" w:hAnsi="宋体"/>
                <w:b/>
                <w:highlight w:val="none"/>
              </w:rPr>
              <w:t>分</w:t>
            </w:r>
            <w:r>
              <w:rPr>
                <w:rFonts w:ascii="宋体" w:hAnsi="宋体"/>
                <w:b/>
                <w:highlight w:val="none"/>
              </w:rPr>
              <w:t>）</w:t>
            </w:r>
          </w:p>
        </w:tc>
        <w:tc>
          <w:tcPr>
            <w:tcW w:w="1375" w:type="dxa"/>
            <w:vAlign w:val="center"/>
          </w:tcPr>
          <w:p w14:paraId="727CF035">
            <w:pPr>
              <w:jc w:val="center"/>
              <w:rPr>
                <w:highlight w:val="none"/>
              </w:rPr>
            </w:pPr>
            <w:r>
              <w:rPr>
                <w:rFonts w:hint="eastAsia" w:ascii="宋体" w:hAnsi="宋体"/>
                <w:bCs/>
                <w:kern w:val="0"/>
                <w:highlight w:val="none"/>
              </w:rPr>
              <w:t>综合实力</w:t>
            </w:r>
          </w:p>
        </w:tc>
        <w:tc>
          <w:tcPr>
            <w:tcW w:w="737" w:type="dxa"/>
            <w:vAlign w:val="center"/>
          </w:tcPr>
          <w:p w14:paraId="1BB3457E">
            <w:pPr>
              <w:adjustRightInd w:val="0"/>
              <w:snapToGrid w:val="0"/>
              <w:spacing w:line="240" w:lineRule="exact"/>
              <w:jc w:val="center"/>
              <w:rPr>
                <w:rFonts w:hint="eastAsia" w:eastAsia="宋体"/>
                <w:highlight w:val="none"/>
                <w:lang w:eastAsia="zh-CN"/>
              </w:rPr>
            </w:pPr>
            <w:r>
              <w:rPr>
                <w:rFonts w:hint="eastAsia" w:ascii="宋体" w:hAnsi="宋体"/>
                <w:highlight w:val="none"/>
                <w:lang w:val="en-US" w:eastAsia="zh-CN"/>
              </w:rPr>
              <w:t>6分</w:t>
            </w:r>
          </w:p>
        </w:tc>
        <w:tc>
          <w:tcPr>
            <w:tcW w:w="6744" w:type="dxa"/>
          </w:tcPr>
          <w:p w14:paraId="71D82360">
            <w:pPr>
              <w:pStyle w:val="12"/>
              <w:snapToGrid w:val="0"/>
              <w:spacing w:after="0" w:line="300" w:lineRule="auto"/>
              <w:ind w:left="0" w:leftChars="0" w:firstLine="0" w:firstLineChars="0"/>
              <w:rPr>
                <w:highlight w:val="none"/>
              </w:rPr>
            </w:pPr>
            <w:r>
              <w:rPr>
                <w:rFonts w:hint="eastAsia" w:ascii="宋体" w:hAnsi="宋体"/>
                <w:kern w:val="0"/>
                <w:highlight w:val="none"/>
              </w:rPr>
              <w:t>获得</w:t>
            </w:r>
            <w:r>
              <w:rPr>
                <w:rFonts w:hint="eastAsia" w:ascii="宋体" w:hAnsi="宋体"/>
                <w:kern w:val="0"/>
                <w:highlight w:val="none"/>
                <w:lang w:val="en-US" w:eastAsia="zh-CN"/>
              </w:rPr>
              <w:t>响应</w:t>
            </w:r>
            <w:r>
              <w:rPr>
                <w:rFonts w:hint="eastAsia" w:ascii="宋体" w:hAnsi="宋体"/>
                <w:kern w:val="0"/>
                <w:highlight w:val="none"/>
              </w:rPr>
              <w:t>产品专利或软件著作权的每个得</w:t>
            </w:r>
            <w:r>
              <w:rPr>
                <w:rFonts w:hint="eastAsia" w:ascii="宋体" w:hAnsi="宋体"/>
                <w:kern w:val="0"/>
                <w:highlight w:val="none"/>
                <w:lang w:val="en-US" w:eastAsia="zh-CN"/>
              </w:rPr>
              <w:t>2</w:t>
            </w:r>
            <w:r>
              <w:rPr>
                <w:rFonts w:hint="eastAsia" w:ascii="宋体" w:hAnsi="宋体"/>
                <w:kern w:val="0"/>
                <w:highlight w:val="none"/>
              </w:rPr>
              <w:t>分，最多</w:t>
            </w:r>
            <w:r>
              <w:rPr>
                <w:rFonts w:hint="eastAsia" w:ascii="宋体" w:hAnsi="宋体"/>
                <w:kern w:val="0"/>
                <w:highlight w:val="none"/>
                <w:lang w:val="en-US" w:eastAsia="zh-CN"/>
              </w:rPr>
              <w:t>6</w:t>
            </w:r>
            <w:r>
              <w:rPr>
                <w:rFonts w:hint="eastAsia" w:ascii="宋体" w:hAnsi="宋体"/>
                <w:kern w:val="0"/>
                <w:highlight w:val="none"/>
              </w:rPr>
              <w:t>分，</w:t>
            </w:r>
            <w:r>
              <w:rPr>
                <w:rFonts w:hint="eastAsia" w:ascii="宋体" w:hAnsi="宋体"/>
                <w:highlight w:val="none"/>
              </w:rPr>
              <w:t>没有不得分</w:t>
            </w:r>
            <w:r>
              <w:rPr>
                <w:rFonts w:hint="eastAsia" w:ascii="宋体" w:hAnsi="宋体"/>
                <w:kern w:val="0"/>
                <w:highlight w:val="none"/>
              </w:rPr>
              <w:t>。</w:t>
            </w:r>
            <w:r>
              <w:rPr>
                <w:rFonts w:hint="eastAsia"/>
                <w:highlight w:val="none"/>
              </w:rPr>
              <w:t>提供证书复印件。</w:t>
            </w:r>
          </w:p>
        </w:tc>
      </w:tr>
      <w:tr w14:paraId="244A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14:paraId="36143290">
            <w:pPr>
              <w:rPr>
                <w:highlight w:val="none"/>
              </w:rPr>
            </w:pPr>
          </w:p>
        </w:tc>
        <w:tc>
          <w:tcPr>
            <w:tcW w:w="1375" w:type="dxa"/>
            <w:vAlign w:val="center"/>
          </w:tcPr>
          <w:p w14:paraId="3D36671B">
            <w:pPr>
              <w:jc w:val="center"/>
              <w:rPr>
                <w:highlight w:val="none"/>
              </w:rPr>
            </w:pPr>
            <w:r>
              <w:rPr>
                <w:rFonts w:hint="eastAsia" w:ascii="宋体" w:hAnsi="宋体"/>
                <w:bCs/>
                <w:kern w:val="0"/>
                <w:highlight w:val="none"/>
              </w:rPr>
              <w:t>产品能力</w:t>
            </w:r>
          </w:p>
        </w:tc>
        <w:tc>
          <w:tcPr>
            <w:tcW w:w="737" w:type="dxa"/>
            <w:vAlign w:val="center"/>
          </w:tcPr>
          <w:p w14:paraId="0E44F790">
            <w:pPr>
              <w:adjustRightInd w:val="0"/>
              <w:snapToGrid w:val="0"/>
              <w:spacing w:line="240" w:lineRule="exact"/>
              <w:jc w:val="center"/>
              <w:rPr>
                <w:rFonts w:hint="eastAsia" w:eastAsia="宋体"/>
                <w:highlight w:val="none"/>
                <w:lang w:val="en-US" w:eastAsia="zh-CN"/>
              </w:rPr>
            </w:pPr>
            <w:r>
              <w:rPr>
                <w:rFonts w:hint="eastAsia" w:ascii="宋体" w:hAnsi="宋体" w:eastAsia="宋体" w:cs="宋体"/>
                <w:highlight w:val="none"/>
                <w:lang w:val="en-US" w:eastAsia="zh-CN"/>
              </w:rPr>
              <w:t>6</w:t>
            </w:r>
            <w:r>
              <w:rPr>
                <w:rFonts w:hint="eastAsia" w:ascii="宋体" w:hAnsi="宋体"/>
                <w:highlight w:val="none"/>
                <w:lang w:val="en-US" w:eastAsia="zh-CN"/>
              </w:rPr>
              <w:t>分</w:t>
            </w:r>
          </w:p>
        </w:tc>
        <w:tc>
          <w:tcPr>
            <w:tcW w:w="6744" w:type="dxa"/>
          </w:tcPr>
          <w:p w14:paraId="40AA2522">
            <w:pPr>
              <w:snapToGrid w:val="0"/>
              <w:spacing w:line="300" w:lineRule="auto"/>
              <w:rPr>
                <w:highlight w:val="none"/>
              </w:rPr>
            </w:pPr>
            <w:r>
              <w:rPr>
                <w:rFonts w:hint="eastAsia" w:ascii="宋体" w:hAnsi="宋体"/>
                <w:highlight w:val="none"/>
              </w:rPr>
              <w:t>自20</w:t>
            </w:r>
            <w:r>
              <w:rPr>
                <w:rFonts w:hint="eastAsia" w:ascii="宋体" w:hAnsi="宋体"/>
                <w:highlight w:val="none"/>
                <w:lang w:val="en-US" w:eastAsia="zh-CN"/>
              </w:rPr>
              <w:t>21</w:t>
            </w:r>
            <w:r>
              <w:rPr>
                <w:rFonts w:hint="eastAsia" w:ascii="宋体" w:hAnsi="宋体"/>
                <w:highlight w:val="none"/>
              </w:rPr>
              <w:t>年1月1日至今有同类产品的成功案例的。提供合同扫描件关键页或其他证明材料，每提供1个得</w:t>
            </w:r>
            <w:r>
              <w:rPr>
                <w:rFonts w:hint="eastAsia" w:ascii="宋体" w:hAnsi="宋体"/>
                <w:highlight w:val="none"/>
                <w:lang w:val="en-US" w:eastAsia="zh-CN"/>
              </w:rPr>
              <w:t>2</w:t>
            </w:r>
            <w:r>
              <w:rPr>
                <w:rFonts w:hint="eastAsia" w:ascii="宋体" w:hAnsi="宋体"/>
                <w:highlight w:val="none"/>
              </w:rPr>
              <w:t>分，</w:t>
            </w:r>
            <w:r>
              <w:rPr>
                <w:rFonts w:hint="eastAsia" w:ascii="宋体" w:hAnsi="宋体"/>
                <w:kern w:val="0"/>
                <w:highlight w:val="none"/>
              </w:rPr>
              <w:t>最多</w:t>
            </w:r>
            <w:r>
              <w:rPr>
                <w:rFonts w:hint="eastAsia" w:ascii="宋体" w:hAnsi="宋体"/>
                <w:kern w:val="0"/>
                <w:highlight w:val="none"/>
                <w:lang w:val="en-US" w:eastAsia="zh-CN"/>
              </w:rPr>
              <w:t>6</w:t>
            </w:r>
            <w:r>
              <w:rPr>
                <w:rFonts w:hint="eastAsia" w:ascii="宋体" w:hAnsi="宋体"/>
                <w:kern w:val="0"/>
                <w:highlight w:val="none"/>
              </w:rPr>
              <w:t>分</w:t>
            </w:r>
            <w:r>
              <w:rPr>
                <w:rFonts w:hint="eastAsia" w:ascii="宋体" w:hAnsi="宋体"/>
                <w:highlight w:val="none"/>
              </w:rPr>
              <w:t>。未提供上述证明材料复印件的不得分。</w:t>
            </w:r>
          </w:p>
        </w:tc>
      </w:tr>
      <w:tr w14:paraId="0498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14:paraId="012D040E">
            <w:pPr>
              <w:rPr>
                <w:highlight w:val="none"/>
              </w:rPr>
            </w:pPr>
          </w:p>
        </w:tc>
        <w:tc>
          <w:tcPr>
            <w:tcW w:w="1375" w:type="dxa"/>
            <w:vAlign w:val="center"/>
          </w:tcPr>
          <w:p w14:paraId="4951356B">
            <w:pPr>
              <w:pStyle w:val="11"/>
              <w:spacing w:after="0" w:line="300" w:lineRule="exact"/>
              <w:ind w:left="-48" w:leftChars="-23"/>
              <w:jc w:val="center"/>
              <w:rPr>
                <w:rFonts w:ascii="宋体" w:hAnsi="宋体"/>
                <w:kern w:val="0"/>
                <w:sz w:val="21"/>
                <w:szCs w:val="21"/>
                <w:highlight w:val="none"/>
              </w:rPr>
            </w:pPr>
            <w:r>
              <w:rPr>
                <w:rFonts w:hint="eastAsia" w:ascii="宋体" w:hAnsi="宋体"/>
                <w:kern w:val="0"/>
                <w:sz w:val="21"/>
                <w:szCs w:val="21"/>
                <w:highlight w:val="none"/>
                <w:lang w:eastAsia="zh-CN"/>
              </w:rPr>
              <w:t>响应</w:t>
            </w:r>
            <w:r>
              <w:rPr>
                <w:rFonts w:hint="eastAsia" w:ascii="宋体" w:hAnsi="宋体"/>
                <w:sz w:val="21"/>
                <w:szCs w:val="21"/>
                <w:highlight w:val="none"/>
              </w:rPr>
              <w:t>文件</w:t>
            </w:r>
          </w:p>
          <w:p w14:paraId="6BEEB878">
            <w:pPr>
              <w:jc w:val="center"/>
              <w:rPr>
                <w:highlight w:val="none"/>
              </w:rPr>
            </w:pPr>
            <w:r>
              <w:rPr>
                <w:rFonts w:hint="eastAsia" w:ascii="宋体" w:hAnsi="宋体"/>
                <w:kern w:val="0"/>
                <w:highlight w:val="none"/>
              </w:rPr>
              <w:t>编制</w:t>
            </w:r>
          </w:p>
        </w:tc>
        <w:tc>
          <w:tcPr>
            <w:tcW w:w="737" w:type="dxa"/>
            <w:vAlign w:val="center"/>
          </w:tcPr>
          <w:p w14:paraId="3D62EBBC">
            <w:pPr>
              <w:adjustRightInd w:val="0"/>
              <w:snapToGrid w:val="0"/>
              <w:spacing w:line="240" w:lineRule="exact"/>
              <w:jc w:val="center"/>
              <w:rPr>
                <w:rFonts w:hint="eastAsia" w:eastAsia="宋体"/>
                <w:highlight w:val="none"/>
                <w:lang w:eastAsia="zh-CN"/>
              </w:rPr>
            </w:pPr>
            <w:r>
              <w:rPr>
                <w:rFonts w:hint="eastAsia" w:ascii="宋体" w:hAnsi="宋体"/>
                <w:highlight w:val="none"/>
                <w:lang w:val="en-US" w:eastAsia="zh-CN"/>
              </w:rPr>
              <w:t>3分</w:t>
            </w:r>
          </w:p>
        </w:tc>
        <w:tc>
          <w:tcPr>
            <w:tcW w:w="6744" w:type="dxa"/>
          </w:tcPr>
          <w:p w14:paraId="4507EC67">
            <w:pPr>
              <w:snapToGrid w:val="0"/>
              <w:spacing w:line="300" w:lineRule="auto"/>
              <w:rPr>
                <w:highlight w:val="none"/>
              </w:rPr>
            </w:pPr>
            <w:r>
              <w:rPr>
                <w:rFonts w:hint="eastAsia" w:ascii="宋体" w:hAnsi="宋体"/>
                <w:highlight w:val="none"/>
                <w:lang w:eastAsia="zh-CN"/>
              </w:rPr>
              <w:t>响应</w:t>
            </w:r>
            <w:r>
              <w:rPr>
                <w:rFonts w:hint="eastAsia" w:ascii="宋体" w:hAnsi="宋体"/>
                <w:highlight w:val="none"/>
              </w:rPr>
              <w:t>文件</w:t>
            </w:r>
            <w:r>
              <w:rPr>
                <w:rFonts w:hint="eastAsia" w:ascii="宋体" w:hAnsi="宋体"/>
                <w:highlight w:val="none"/>
                <w:lang w:val="en-US" w:eastAsia="zh-CN"/>
              </w:rPr>
              <w:t>应</w:t>
            </w:r>
            <w:r>
              <w:rPr>
                <w:rFonts w:hint="eastAsia" w:ascii="宋体" w:hAnsi="宋体"/>
                <w:highlight w:val="none"/>
              </w:rPr>
              <w:t>编排</w:t>
            </w:r>
            <w:r>
              <w:rPr>
                <w:rFonts w:hint="eastAsia" w:ascii="宋体" w:hAnsi="宋体"/>
                <w:highlight w:val="none"/>
                <w:lang w:val="en-US" w:eastAsia="zh-CN"/>
              </w:rPr>
              <w:t>有序</w:t>
            </w:r>
            <w:r>
              <w:rPr>
                <w:rFonts w:hint="eastAsia" w:ascii="宋体" w:hAnsi="宋体"/>
                <w:highlight w:val="none"/>
              </w:rPr>
              <w:t>，有目录、编页码，书面整洁无涂改，</w:t>
            </w:r>
            <w:r>
              <w:rPr>
                <w:rFonts w:hint="eastAsia" w:ascii="宋体" w:hAnsi="宋体"/>
                <w:highlight w:val="none"/>
                <w:lang w:val="en-US" w:eastAsia="zh-CN"/>
              </w:rPr>
              <w:t>无</w:t>
            </w:r>
            <w:r>
              <w:rPr>
                <w:rFonts w:hint="eastAsia" w:ascii="宋体" w:hAnsi="宋体"/>
                <w:highlight w:val="none"/>
              </w:rPr>
              <w:t>缺漏项，价格计算准确，符合要求的计</w:t>
            </w:r>
            <w:r>
              <w:rPr>
                <w:rFonts w:hint="eastAsia" w:ascii="宋体" w:hAnsi="宋体"/>
                <w:highlight w:val="none"/>
                <w:lang w:val="en-US" w:eastAsia="zh-CN"/>
              </w:rPr>
              <w:t>3</w:t>
            </w:r>
            <w:r>
              <w:rPr>
                <w:rFonts w:hint="eastAsia" w:ascii="宋体" w:hAnsi="宋体"/>
                <w:highlight w:val="none"/>
              </w:rPr>
              <w:t>分；有错误或者缺项漏项每处扣0.5分，扣完为止。</w:t>
            </w:r>
          </w:p>
        </w:tc>
      </w:tr>
    </w:tbl>
    <w:p w14:paraId="293AE1E6">
      <w:pPr>
        <w:pStyle w:val="16"/>
        <w:ind w:firstLine="0" w:firstLineChars="0"/>
        <w:rPr>
          <w:sz w:val="15"/>
          <w:szCs w:val="15"/>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jU2MzMxMTIyNzIyYTQyZjg1OTZhMmRkYzhlY2QifQ=="/>
  </w:docVars>
  <w:rsids>
    <w:rsidRoot w:val="4A4E7EC1"/>
    <w:rsid w:val="0006700B"/>
    <w:rsid w:val="00174F70"/>
    <w:rsid w:val="003208A8"/>
    <w:rsid w:val="00814764"/>
    <w:rsid w:val="009A4365"/>
    <w:rsid w:val="00DB1693"/>
    <w:rsid w:val="00FE6539"/>
    <w:rsid w:val="0447084C"/>
    <w:rsid w:val="04D72EC5"/>
    <w:rsid w:val="057336E9"/>
    <w:rsid w:val="088B25D0"/>
    <w:rsid w:val="09267C87"/>
    <w:rsid w:val="09374C02"/>
    <w:rsid w:val="0A830A39"/>
    <w:rsid w:val="0C9A0A3F"/>
    <w:rsid w:val="0CDA7707"/>
    <w:rsid w:val="0D3112F1"/>
    <w:rsid w:val="0E7A06CB"/>
    <w:rsid w:val="10240C99"/>
    <w:rsid w:val="10BB547B"/>
    <w:rsid w:val="11155FB1"/>
    <w:rsid w:val="11E2588B"/>
    <w:rsid w:val="12737856"/>
    <w:rsid w:val="135A5D53"/>
    <w:rsid w:val="13D80718"/>
    <w:rsid w:val="156404B5"/>
    <w:rsid w:val="15783F61"/>
    <w:rsid w:val="15881515"/>
    <w:rsid w:val="166B1A97"/>
    <w:rsid w:val="17424826"/>
    <w:rsid w:val="1DBE097F"/>
    <w:rsid w:val="1F8F594F"/>
    <w:rsid w:val="200B61DD"/>
    <w:rsid w:val="212136FE"/>
    <w:rsid w:val="249C4A4B"/>
    <w:rsid w:val="257B7155"/>
    <w:rsid w:val="26F15921"/>
    <w:rsid w:val="27C2106B"/>
    <w:rsid w:val="27DD40F7"/>
    <w:rsid w:val="288B3B53"/>
    <w:rsid w:val="28A15C72"/>
    <w:rsid w:val="2B2D4A4E"/>
    <w:rsid w:val="2B3109E2"/>
    <w:rsid w:val="2DD9710F"/>
    <w:rsid w:val="2E9C2616"/>
    <w:rsid w:val="2EBB4691"/>
    <w:rsid w:val="2EBF0D6A"/>
    <w:rsid w:val="316D029A"/>
    <w:rsid w:val="31916100"/>
    <w:rsid w:val="32867865"/>
    <w:rsid w:val="341E587B"/>
    <w:rsid w:val="35B74611"/>
    <w:rsid w:val="389F048B"/>
    <w:rsid w:val="3A380274"/>
    <w:rsid w:val="3DD11BB1"/>
    <w:rsid w:val="3E2148E6"/>
    <w:rsid w:val="3F43088C"/>
    <w:rsid w:val="3F8213B4"/>
    <w:rsid w:val="41D0702E"/>
    <w:rsid w:val="41DA54D8"/>
    <w:rsid w:val="42C34895"/>
    <w:rsid w:val="450E5498"/>
    <w:rsid w:val="45C67061"/>
    <w:rsid w:val="460A3EB2"/>
    <w:rsid w:val="465A44FC"/>
    <w:rsid w:val="49317243"/>
    <w:rsid w:val="498A3491"/>
    <w:rsid w:val="4A4E7EC1"/>
    <w:rsid w:val="4A857FAB"/>
    <w:rsid w:val="4AC04F20"/>
    <w:rsid w:val="4EA778E8"/>
    <w:rsid w:val="4F7800DE"/>
    <w:rsid w:val="50DE0415"/>
    <w:rsid w:val="514064B2"/>
    <w:rsid w:val="518B234A"/>
    <w:rsid w:val="54B5164D"/>
    <w:rsid w:val="54CA13DC"/>
    <w:rsid w:val="56312D95"/>
    <w:rsid w:val="56415DAC"/>
    <w:rsid w:val="57825F9E"/>
    <w:rsid w:val="583D6E77"/>
    <w:rsid w:val="586C4558"/>
    <w:rsid w:val="58BD6B62"/>
    <w:rsid w:val="5B3E6680"/>
    <w:rsid w:val="5DC6470A"/>
    <w:rsid w:val="60B44CEE"/>
    <w:rsid w:val="6126218E"/>
    <w:rsid w:val="626F35C2"/>
    <w:rsid w:val="679C1A2F"/>
    <w:rsid w:val="68F22857"/>
    <w:rsid w:val="6AB70A2A"/>
    <w:rsid w:val="6B4E123A"/>
    <w:rsid w:val="6CCD7863"/>
    <w:rsid w:val="6D56138A"/>
    <w:rsid w:val="709D2800"/>
    <w:rsid w:val="74381A66"/>
    <w:rsid w:val="74387CB8"/>
    <w:rsid w:val="75A226ED"/>
    <w:rsid w:val="769E5DCD"/>
    <w:rsid w:val="76DD4B47"/>
    <w:rsid w:val="79B469D5"/>
    <w:rsid w:val="7D9046C1"/>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4"/>
    <w:next w:val="1"/>
    <w:link w:val="19"/>
    <w:qFormat/>
    <w:uiPriority w:val="0"/>
    <w:pPr>
      <w:spacing w:before="340" w:after="330" w:line="360" w:lineRule="auto"/>
      <w:jc w:val="center"/>
      <w:outlineLvl w:val="0"/>
    </w:pPr>
    <w:rPr>
      <w:rFonts w:eastAsia="黑体"/>
      <w:kern w:val="44"/>
      <w:szCs w:val="44"/>
    </w:rPr>
  </w:style>
  <w:style w:type="paragraph" w:styleId="2">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spacing w:before="260" w:after="260"/>
      <w:outlineLvl w:val="2"/>
    </w:pPr>
    <w:rPr>
      <w:rFonts w:ascii="宋体" w:hAnsi="宋体"/>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Body Text First Indent 2"/>
    <w:basedOn w:val="7"/>
    <w:next w:val="5"/>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7">
    <w:name w:val="Fließtext2"/>
    <w:basedOn w:val="1"/>
    <w:qFormat/>
    <w:uiPriority w:val="99"/>
    <w:pPr>
      <w:overflowPunct w:val="0"/>
      <w:autoSpaceDE w:val="0"/>
      <w:autoSpaceDN w:val="0"/>
      <w:adjustRightInd w:val="0"/>
      <w:textAlignment w:val="baseline"/>
    </w:pPr>
    <w:rPr>
      <w:kern w:val="28"/>
      <w:szCs w:val="20"/>
    </w:rPr>
  </w:style>
  <w:style w:type="paragraph" w:styleId="18">
    <w:name w:val="List Paragraph"/>
    <w:basedOn w:val="1"/>
    <w:qFormat/>
    <w:uiPriority w:val="99"/>
    <w:pPr>
      <w:ind w:firstLine="420" w:firstLineChars="200"/>
    </w:pPr>
  </w:style>
  <w:style w:type="character" w:customStyle="1" w:styleId="19">
    <w:name w:val="标题 1 字符"/>
    <w:link w:val="3"/>
    <w:qFormat/>
    <w:uiPriority w:val="0"/>
    <w:rPr>
      <w:rFonts w:eastAsia="黑体"/>
      <w:kern w:val="44"/>
      <w:szCs w:val="44"/>
    </w:rPr>
  </w:style>
  <w:style w:type="character" w:customStyle="1" w:styleId="20">
    <w:name w:val="页眉 字符"/>
    <w:basedOn w:val="15"/>
    <w:link w:val="10"/>
    <w:qFormat/>
    <w:uiPriority w:val="0"/>
    <w:rPr>
      <w:rFonts w:ascii="Calibri" w:hAnsi="Calibri" w:eastAsia="宋体" w:cs="宋体"/>
      <w:kern w:val="2"/>
      <w:sz w:val="18"/>
      <w:szCs w:val="18"/>
    </w:rPr>
  </w:style>
  <w:style w:type="character" w:customStyle="1" w:styleId="21">
    <w:name w:val="页脚 字符"/>
    <w:basedOn w:val="15"/>
    <w:link w:val="9"/>
    <w:qFormat/>
    <w:uiPriority w:val="0"/>
    <w:rPr>
      <w:rFonts w:ascii="Calibri" w:hAnsi="Calibri" w:eastAsia="宋体" w:cs="宋体"/>
      <w:kern w:val="2"/>
      <w:sz w:val="18"/>
      <w:szCs w:val="18"/>
    </w:rPr>
  </w:style>
  <w:style w:type="character" w:customStyle="1" w:styleId="22">
    <w:name w:val="font21"/>
    <w:basedOn w:val="15"/>
    <w:qFormat/>
    <w:uiPriority w:val="0"/>
    <w:rPr>
      <w:rFonts w:ascii="Calibri" w:hAnsi="Calibri" w:cs="Calibri"/>
      <w:color w:val="000000"/>
      <w:sz w:val="21"/>
      <w:szCs w:val="21"/>
      <w:u w:val="none"/>
    </w:rPr>
  </w:style>
  <w:style w:type="character" w:customStyle="1" w:styleId="23">
    <w:name w:val="font0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972</Words>
  <Characters>991</Characters>
  <Lines>22</Lines>
  <Paragraphs>6</Paragraphs>
  <TotalTime>2</TotalTime>
  <ScaleCrop>false</ScaleCrop>
  <LinksUpToDate>false</LinksUpToDate>
  <CharactersWithSpaces>991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2023-10-27T08:28:00Z</dcterms:created>
  <dc:creator>forestway</dc:creator>
  <cp:lastModifiedBy>秋秋</cp:lastModifiedBy>
  <dcterms:modified xsi:type="dcterms:W3CDTF">2024-08-27T09:38:00Z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D98B2CDB20F445DFB8A707797442B565_13</vt:lpwstr>
  </property>
</Properties>
</file>