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28EA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snapToGrid/>
          <w:color w:val="000000" w:themeColor="text1"/>
          <w:kern w:val="2"/>
          <w:sz w:val="44"/>
          <w:szCs w:val="44"/>
          <w:lang w:val="en-US" w:eastAsia="en-US" w:bidi="ar-SA"/>
          <w14:textFill>
            <w14:solidFill>
              <w14:schemeClr w14:val="tx1"/>
            </w14:solidFill>
          </w14:textFill>
        </w:rPr>
      </w:pPr>
      <w:r>
        <w:rPr>
          <w:rFonts w:hint="eastAsia" w:ascii="方正小标宋简体" w:hAnsi="方正小标宋简体" w:eastAsia="方正小标宋简体" w:cs="方正小标宋简体"/>
          <w:b w:val="0"/>
          <w:bCs w:val="0"/>
          <w:snapToGrid/>
          <w:color w:val="000000" w:themeColor="text1"/>
          <w:kern w:val="2"/>
          <w:sz w:val="44"/>
          <w:szCs w:val="44"/>
          <w:lang w:val="en-US" w:eastAsia="en-US" w:bidi="ar-SA"/>
          <w14:textFill>
            <w14:solidFill>
              <w14:schemeClr w14:val="tx1"/>
            </w14:solidFill>
          </w14:textFill>
        </w:rPr>
        <w:t>中山大学附属第一医院广西</w:t>
      </w:r>
      <w:r>
        <w:rPr>
          <w:rFonts w:hint="eastAsia" w:ascii="方正小标宋简体" w:hAnsi="方正小标宋简体" w:eastAsia="方正小标宋简体" w:cs="方正小标宋简体"/>
          <w:b w:val="0"/>
          <w:bCs w:val="0"/>
          <w:snapToGrid/>
          <w:color w:val="000000" w:themeColor="text1"/>
          <w:kern w:val="2"/>
          <w:sz w:val="44"/>
          <w:szCs w:val="44"/>
          <w:lang w:val="en-US" w:eastAsia="zh-CN" w:bidi="ar-SA"/>
          <w14:textFill>
            <w14:solidFill>
              <w14:schemeClr w14:val="tx1"/>
            </w14:solidFill>
          </w14:textFill>
        </w:rPr>
        <w:t>医院</w:t>
      </w:r>
      <w:r>
        <w:rPr>
          <w:rFonts w:hint="eastAsia" w:ascii="方正小标宋简体" w:hAnsi="方正小标宋简体" w:eastAsia="方正小标宋简体" w:cs="方正小标宋简体"/>
          <w:b w:val="0"/>
          <w:bCs w:val="0"/>
          <w:snapToGrid/>
          <w:color w:val="000000" w:themeColor="text1"/>
          <w:kern w:val="2"/>
          <w:sz w:val="44"/>
          <w:szCs w:val="44"/>
          <w:lang w:val="en-US" w:eastAsia="en-US" w:bidi="ar-SA"/>
          <w14:textFill>
            <w14:solidFill>
              <w14:schemeClr w14:val="tx1"/>
            </w14:solidFill>
          </w14:textFill>
        </w:rPr>
        <w:t>运营管理</w:t>
      </w:r>
    </w:p>
    <w:p w14:paraId="300EE00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snapToGrid/>
          <w:color w:val="000000" w:themeColor="text1"/>
          <w:kern w:val="2"/>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val="0"/>
          <w:snapToGrid/>
          <w:color w:val="000000" w:themeColor="text1"/>
          <w:kern w:val="2"/>
          <w:sz w:val="44"/>
          <w:szCs w:val="44"/>
          <w:lang w:val="en-US" w:eastAsia="zh-CN" w:bidi="ar-SA"/>
          <w14:textFill>
            <w14:solidFill>
              <w14:schemeClr w14:val="tx1"/>
            </w14:solidFill>
          </w14:textFill>
        </w:rPr>
        <w:t>信息系统市场调研需求</w:t>
      </w:r>
    </w:p>
    <w:p w14:paraId="31DC088A">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b/>
          <w:bCs/>
          <w:i w:val="0"/>
          <w:iCs w:val="0"/>
          <w:caps w:val="0"/>
          <w:snapToGrid/>
          <w:color w:val="000000"/>
          <w:spacing w:val="0"/>
          <w:sz w:val="30"/>
          <w:szCs w:val="30"/>
          <w:lang w:val="en-US" w:eastAsia="zh-CN"/>
        </w:rPr>
      </w:pPr>
    </w:p>
    <w:p w14:paraId="3A1EBEBE">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2" w:firstLineChars="200"/>
        <w:jc w:val="both"/>
        <w:textAlignment w:val="baseline"/>
        <w:rPr>
          <w:rFonts w:hint="eastAsia" w:ascii="黑体" w:hAnsi="黑体" w:eastAsia="黑体" w:cs="黑体"/>
          <w:b/>
          <w:bCs/>
          <w:snapToGrid/>
          <w:color w:val="000000" w:themeColor="text1"/>
          <w:kern w:val="2"/>
          <w:sz w:val="30"/>
          <w:szCs w:val="30"/>
          <w:lang w:val="en-US" w:eastAsia="en-US" w:bidi="ar-SA"/>
          <w14:textFill>
            <w14:solidFill>
              <w14:schemeClr w14:val="tx1"/>
            </w14:solidFill>
          </w14:textFill>
        </w:rPr>
      </w:pPr>
      <w:r>
        <w:rPr>
          <w:rFonts w:hint="eastAsia" w:ascii="黑体" w:hAnsi="黑体" w:eastAsia="黑体" w:cs="黑体"/>
          <w:b/>
          <w:bCs/>
          <w:snapToGrid/>
          <w:color w:val="000000" w:themeColor="text1"/>
          <w:kern w:val="2"/>
          <w:sz w:val="30"/>
          <w:szCs w:val="30"/>
          <w:lang w:val="en-US" w:eastAsia="zh-CN" w:bidi="ar-SA"/>
          <w14:textFill>
            <w14:solidFill>
              <w14:schemeClr w14:val="tx1"/>
            </w14:solidFill>
          </w14:textFill>
        </w:rPr>
        <w:t>一、</w:t>
      </w:r>
      <w:r>
        <w:rPr>
          <w:rFonts w:hint="eastAsia" w:ascii="黑体" w:hAnsi="黑体" w:eastAsia="黑体" w:cs="黑体"/>
          <w:b/>
          <w:bCs/>
          <w:snapToGrid/>
          <w:color w:val="000000" w:themeColor="text1"/>
          <w:kern w:val="2"/>
          <w:sz w:val="30"/>
          <w:szCs w:val="30"/>
          <w:lang w:val="en-US" w:eastAsia="en-US" w:bidi="ar-SA"/>
          <w14:textFill>
            <w14:solidFill>
              <w14:schemeClr w14:val="tx1"/>
            </w14:solidFill>
          </w14:textFill>
        </w:rPr>
        <w:t>全成本核算系统</w:t>
      </w:r>
    </w:p>
    <w:p w14:paraId="21F19834">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zh-CN" w:bidi="ar-SA"/>
        </w:rPr>
        <w:t>需按照</w:t>
      </w:r>
      <w:r>
        <w:rPr>
          <w:rFonts w:hint="eastAsia" w:ascii="仿宋_GB2312" w:hAnsi="仿宋_GB2312" w:eastAsia="仿宋_GB2312" w:cs="仿宋_GB2312"/>
          <w:snapToGrid w:val="0"/>
          <w:color w:val="000000"/>
          <w:kern w:val="0"/>
          <w:sz w:val="32"/>
          <w:szCs w:val="32"/>
          <w:lang w:val="en-US" w:eastAsia="en-US" w:bidi="ar-SA"/>
        </w:rPr>
        <w:t>《国家卫生健康委办公厅国家中医药局综合司国家疾控局综合司关于印发</w:t>
      </w:r>
      <w:r>
        <w:rPr>
          <w:rFonts w:hint="eastAsia" w:ascii="仿宋_GB2312" w:hAnsi="仿宋_GB2312" w:eastAsia="仿宋_GB2312" w:cs="仿宋_GB2312"/>
          <w:snapToGrid w:val="0"/>
          <w:color w:val="000000"/>
          <w:kern w:val="0"/>
          <w:sz w:val="32"/>
          <w:szCs w:val="32"/>
          <w:lang w:val="en-US" w:eastAsia="zh-CN" w:bidi="ar-SA"/>
        </w:rPr>
        <w:t>〈</w:t>
      </w:r>
      <w:r>
        <w:rPr>
          <w:rFonts w:hint="eastAsia" w:ascii="仿宋_GB2312" w:hAnsi="仿宋_GB2312" w:eastAsia="仿宋_GB2312" w:cs="仿宋_GB2312"/>
          <w:snapToGrid w:val="0"/>
          <w:color w:val="000000"/>
          <w:kern w:val="0"/>
          <w:sz w:val="32"/>
          <w:szCs w:val="32"/>
          <w:lang w:val="en-US" w:eastAsia="en-US" w:bidi="ar-SA"/>
        </w:rPr>
        <w:t>公立医院成本核算指导手册</w:t>
      </w:r>
      <w:r>
        <w:rPr>
          <w:rFonts w:hint="eastAsia" w:ascii="仿宋_GB2312" w:hAnsi="仿宋_GB2312" w:eastAsia="仿宋_GB2312" w:cs="仿宋_GB2312"/>
          <w:snapToGrid w:val="0"/>
          <w:color w:val="000000"/>
          <w:kern w:val="0"/>
          <w:sz w:val="32"/>
          <w:szCs w:val="32"/>
          <w:lang w:val="en-US" w:eastAsia="zh-CN" w:bidi="ar-SA"/>
        </w:rPr>
        <w:t>〉</w:t>
      </w:r>
      <w:r>
        <w:rPr>
          <w:rFonts w:hint="eastAsia" w:ascii="仿宋_GB2312" w:hAnsi="仿宋_GB2312" w:eastAsia="仿宋_GB2312" w:cs="仿宋_GB2312"/>
          <w:snapToGrid w:val="0"/>
          <w:color w:val="000000"/>
          <w:kern w:val="0"/>
          <w:sz w:val="32"/>
          <w:szCs w:val="32"/>
          <w:lang w:val="en-US" w:eastAsia="en-US" w:bidi="ar-SA"/>
        </w:rPr>
        <w:t>的通知》,“到2025年底，争取实现三级医院全部开展医疗服务项目成本核算、病种成本核算、DRG成本核算；二级及以下医院全部开展科室成本核算、诊次成本核算、床日成本核算，逐步开展医疗服务项目成本核算、病种成本核算、DRG成本核算”。</w:t>
      </w:r>
    </w:p>
    <w:p w14:paraId="72082ECB">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我院拟搭建的全成本核算系统包含科室成本核算、诊次成本核算、床日成本核算、医疗项目成本核算、病种成本核算 、DRG成本核算、DRG下DIP 成本核算</w:t>
      </w:r>
      <w:r>
        <w:rPr>
          <w:rFonts w:hint="eastAsia" w:ascii="仿宋_GB2312" w:hAnsi="仿宋_GB2312" w:eastAsia="仿宋_GB2312" w:cs="仿宋_GB2312"/>
          <w:snapToGrid w:val="0"/>
          <w:color w:val="000000"/>
          <w:kern w:val="0"/>
          <w:sz w:val="32"/>
          <w:szCs w:val="32"/>
          <w:lang w:val="en-US" w:eastAsia="zh-CN" w:bidi="ar-SA"/>
        </w:rPr>
        <w:t>（系统需具有DRG下DIP分组器功能、）</w:t>
      </w:r>
      <w:r>
        <w:rPr>
          <w:rFonts w:hint="eastAsia" w:ascii="仿宋_GB2312" w:hAnsi="仿宋_GB2312" w:eastAsia="仿宋_GB2312" w:cs="仿宋_GB2312"/>
          <w:snapToGrid w:val="0"/>
          <w:color w:val="000000"/>
          <w:kern w:val="0"/>
          <w:sz w:val="32"/>
          <w:szCs w:val="32"/>
          <w:lang w:val="en-US" w:eastAsia="en-US" w:bidi="ar-SA"/>
        </w:rPr>
        <w:t>、病床成本核算、主诊医生成本核算、医疗设备成本核算等功能，赋能医院高质量运营管理。</w:t>
      </w:r>
    </w:p>
    <w:p w14:paraId="4E300590">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zh-CN" w:bidi="ar-SA"/>
        </w:rPr>
        <w:t>1.</w:t>
      </w:r>
      <w:r>
        <w:rPr>
          <w:rFonts w:hint="eastAsia" w:ascii="仿宋_GB2312" w:hAnsi="仿宋_GB2312" w:eastAsia="仿宋_GB2312" w:cs="仿宋_GB2312"/>
          <w:snapToGrid w:val="0"/>
          <w:color w:val="000000"/>
          <w:kern w:val="0"/>
          <w:sz w:val="32"/>
          <w:szCs w:val="32"/>
          <w:lang w:val="en-US" w:eastAsia="en-US" w:bidi="ar-SA"/>
        </w:rPr>
        <w:t>成本预算：对于业务计划、成本预测、成本预算与执行分析的管理。成本预测可提供高低点预测、本量利预测、回归预测方法进行下期成本预算。</w:t>
      </w:r>
    </w:p>
    <w:p w14:paraId="5C3E6679">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zh-CN" w:bidi="ar-SA"/>
        </w:rPr>
        <w:t>2</w:t>
      </w:r>
      <w:r>
        <w:rPr>
          <w:rFonts w:hint="eastAsia" w:ascii="仿宋_GB2312" w:hAnsi="仿宋_GB2312" w:eastAsia="仿宋_GB2312" w:cs="仿宋_GB2312"/>
          <w:snapToGrid w:val="0"/>
          <w:color w:val="000000"/>
          <w:kern w:val="0"/>
          <w:sz w:val="32"/>
          <w:szCs w:val="32"/>
          <w:lang w:val="en-US" w:eastAsia="en-US" w:bidi="ar-SA"/>
        </w:rPr>
        <w:t>.核算方法：成本分摊归集采用完全成本法和制造成本法相结合的</w:t>
      </w:r>
      <w:r>
        <w:rPr>
          <w:rFonts w:hint="eastAsia" w:ascii="仿宋_GB2312" w:hAnsi="仿宋_GB2312" w:eastAsia="仿宋_GB2312" w:cs="仿宋_GB2312"/>
          <w:snapToGrid w:val="0"/>
          <w:color w:val="000000"/>
          <w:kern w:val="0"/>
          <w:sz w:val="32"/>
          <w:szCs w:val="32"/>
          <w:lang w:val="en-US" w:eastAsia="zh-CN" w:bidi="ar-SA"/>
        </w:rPr>
        <w:t>多参数</w:t>
      </w:r>
      <w:r>
        <w:rPr>
          <w:rFonts w:hint="eastAsia" w:ascii="仿宋_GB2312" w:hAnsi="仿宋_GB2312" w:eastAsia="仿宋_GB2312" w:cs="仿宋_GB2312"/>
          <w:snapToGrid w:val="0"/>
          <w:color w:val="000000"/>
          <w:kern w:val="0"/>
          <w:sz w:val="32"/>
          <w:szCs w:val="32"/>
          <w:lang w:val="en-US" w:eastAsia="en-US" w:bidi="ar-SA"/>
        </w:rPr>
        <w:t>分摊方</w:t>
      </w:r>
      <w:r>
        <w:rPr>
          <w:rFonts w:hint="eastAsia" w:ascii="仿宋_GB2312" w:hAnsi="仿宋_GB2312" w:eastAsia="仿宋_GB2312" w:cs="仿宋_GB2312"/>
          <w:snapToGrid w:val="0"/>
          <w:color w:val="000000"/>
          <w:kern w:val="0"/>
          <w:sz w:val="32"/>
          <w:szCs w:val="32"/>
          <w:lang w:val="en-US" w:eastAsia="zh-CN" w:bidi="ar-SA"/>
        </w:rPr>
        <w:t>式</w:t>
      </w:r>
      <w:r>
        <w:rPr>
          <w:rFonts w:hint="eastAsia" w:ascii="仿宋_GB2312" w:hAnsi="仿宋_GB2312" w:eastAsia="仿宋_GB2312" w:cs="仿宋_GB2312"/>
          <w:snapToGrid w:val="0"/>
          <w:color w:val="000000"/>
          <w:kern w:val="0"/>
          <w:sz w:val="32"/>
          <w:szCs w:val="32"/>
          <w:lang w:val="en-US" w:eastAsia="en-US" w:bidi="ar-SA"/>
        </w:rPr>
        <w:t>进行核算，并产出各自相应维度的分析报表。</w:t>
      </w:r>
    </w:p>
    <w:p w14:paraId="01A1B81C">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zh-CN" w:bidi="ar-SA"/>
        </w:rPr>
        <w:t>3</w:t>
      </w:r>
      <w:r>
        <w:rPr>
          <w:rFonts w:hint="eastAsia" w:ascii="仿宋_GB2312" w:hAnsi="仿宋_GB2312" w:eastAsia="仿宋_GB2312" w:cs="仿宋_GB2312"/>
          <w:snapToGrid w:val="0"/>
          <w:color w:val="000000"/>
          <w:kern w:val="0"/>
          <w:sz w:val="32"/>
          <w:szCs w:val="32"/>
          <w:lang w:val="en-US" w:eastAsia="en-US" w:bidi="ar-SA"/>
        </w:rPr>
        <w:t>.成本考核：利用成本考核功能对成本的数据结果进行展示，包括收入数据、成本数据以及医疗收益数据。</w:t>
      </w:r>
    </w:p>
    <w:p w14:paraId="56E0DE10">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zh-CN" w:bidi="ar-SA"/>
        </w:rPr>
        <w:t>4</w:t>
      </w:r>
      <w:r>
        <w:rPr>
          <w:rFonts w:hint="eastAsia" w:ascii="仿宋_GB2312" w:hAnsi="仿宋_GB2312" w:eastAsia="仿宋_GB2312" w:cs="仿宋_GB2312"/>
          <w:snapToGrid w:val="0"/>
          <w:color w:val="000000"/>
          <w:kern w:val="0"/>
          <w:sz w:val="32"/>
          <w:szCs w:val="32"/>
          <w:lang w:val="en-US" w:eastAsia="en-US" w:bidi="ar-SA"/>
        </w:rPr>
        <w:t>.成本报表：公立医院1</w:t>
      </w:r>
      <w:r>
        <w:rPr>
          <w:rFonts w:hint="eastAsia" w:ascii="仿宋_GB2312" w:hAnsi="仿宋_GB2312" w:eastAsia="仿宋_GB2312" w:cs="仿宋_GB2312"/>
          <w:snapToGrid w:val="0"/>
          <w:color w:val="000000"/>
          <w:kern w:val="0"/>
          <w:sz w:val="32"/>
          <w:szCs w:val="32"/>
          <w:lang w:val="en-US" w:eastAsia="zh-CN" w:bidi="ar-SA"/>
        </w:rPr>
        <w:t>8</w:t>
      </w:r>
      <w:r>
        <w:rPr>
          <w:rFonts w:hint="eastAsia" w:ascii="仿宋_GB2312" w:hAnsi="仿宋_GB2312" w:eastAsia="仿宋_GB2312" w:cs="仿宋_GB2312"/>
          <w:snapToGrid w:val="0"/>
          <w:color w:val="000000"/>
          <w:kern w:val="0"/>
          <w:sz w:val="32"/>
          <w:szCs w:val="32"/>
          <w:lang w:val="en-US" w:eastAsia="en-US" w:bidi="ar-SA"/>
        </w:rPr>
        <w:t>张成本管理报表的自动生成，满足报表自定义功能即满足医院根据自己的需求，设计报表样式和各单元格的数据内容，并生成报表进行导出、打印等功能，形成个性化需求报表，满足医院未来扩展报表的要求。</w:t>
      </w:r>
    </w:p>
    <w:p w14:paraId="0BA47FCD">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zh-CN" w:bidi="ar-SA"/>
        </w:rPr>
        <w:t>5</w:t>
      </w:r>
      <w:r>
        <w:rPr>
          <w:rFonts w:hint="eastAsia" w:ascii="仿宋_GB2312" w:hAnsi="仿宋_GB2312" w:eastAsia="仿宋_GB2312" w:cs="仿宋_GB2312"/>
          <w:snapToGrid w:val="0"/>
          <w:color w:val="000000"/>
          <w:kern w:val="0"/>
          <w:sz w:val="32"/>
          <w:szCs w:val="32"/>
          <w:lang w:val="en-US" w:eastAsia="en-US" w:bidi="ar-SA"/>
        </w:rPr>
        <w:t>.成本</w:t>
      </w:r>
      <w:r>
        <w:rPr>
          <w:rFonts w:hint="eastAsia" w:ascii="仿宋_GB2312" w:hAnsi="仿宋_GB2312" w:eastAsia="仿宋_GB2312" w:cs="仿宋_GB2312"/>
          <w:snapToGrid w:val="0"/>
          <w:color w:val="000000"/>
          <w:kern w:val="0"/>
          <w:sz w:val="32"/>
          <w:szCs w:val="32"/>
          <w:lang w:val="en-US" w:eastAsia="zh-CN" w:bidi="ar-SA"/>
        </w:rPr>
        <w:t>报告</w:t>
      </w:r>
      <w:r>
        <w:rPr>
          <w:rFonts w:hint="eastAsia" w:ascii="仿宋_GB2312" w:hAnsi="仿宋_GB2312" w:eastAsia="仿宋_GB2312" w:cs="仿宋_GB2312"/>
          <w:snapToGrid w:val="0"/>
          <w:color w:val="000000"/>
          <w:kern w:val="0"/>
          <w:sz w:val="32"/>
          <w:szCs w:val="32"/>
          <w:lang w:val="en-US" w:eastAsia="en-US" w:bidi="ar-SA"/>
        </w:rPr>
        <w:t>：提供收支余分析、科室分析、本量利分析、人力、药耗专题分析等综合分析功能，并形成文字分析报告。支持从成本收益、成本分析、成本结构、成本控制等角度对项目成本核算结果进行分析，并形成文字分析报告。支持人员效率分析、设备使用率分析、物资利用率分析以及目标成本分析等，并形成文字分析报告。</w:t>
      </w:r>
    </w:p>
    <w:p w14:paraId="5F75CFD8">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6.成本分析：通过成本归集分摊形成药材费用、药耗成本、直接成本、医疗业务成本、医疗全成本，实现边际结余贡献、直接结余贡献、毛结余贡献、净结余贡献的结果分析。</w:t>
      </w:r>
    </w:p>
    <w:p w14:paraId="51EDA607">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zh-CN" w:bidi="ar-SA"/>
        </w:rPr>
        <w:t>7.</w:t>
      </w:r>
      <w:r>
        <w:rPr>
          <w:rFonts w:hint="eastAsia" w:ascii="仿宋_GB2312" w:hAnsi="仿宋_GB2312" w:eastAsia="仿宋_GB2312" w:cs="仿宋_GB2312"/>
          <w:snapToGrid w:val="0"/>
          <w:color w:val="000000"/>
          <w:kern w:val="0"/>
          <w:sz w:val="32"/>
          <w:szCs w:val="32"/>
          <w:lang w:val="en-US" w:eastAsia="en-US" w:bidi="ar-SA"/>
        </w:rPr>
        <w:t>成本监测：对于医院的医疗服务项目频次、医院各科室成本、一次性医用耗材等进行监测。</w:t>
      </w:r>
    </w:p>
    <w:p w14:paraId="5ABC74F0">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8.满足医院绩效考核管理需求，提供多维度成本核算结果，适应医院内部控制管理需求。</w:t>
      </w:r>
    </w:p>
    <w:p w14:paraId="4FF514B6">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2" w:firstLineChars="200"/>
        <w:jc w:val="both"/>
        <w:textAlignment w:val="baseline"/>
        <w:rPr>
          <w:rFonts w:hint="eastAsia" w:ascii="黑体" w:hAnsi="黑体" w:eastAsia="黑体" w:cs="黑体"/>
          <w:b/>
          <w:bCs/>
          <w:snapToGrid/>
          <w:color w:val="000000" w:themeColor="text1"/>
          <w:kern w:val="2"/>
          <w:sz w:val="30"/>
          <w:szCs w:val="30"/>
          <w:lang w:val="en-US" w:eastAsia="en-US" w:bidi="ar-SA"/>
          <w14:textFill>
            <w14:solidFill>
              <w14:schemeClr w14:val="tx1"/>
            </w14:solidFill>
          </w14:textFill>
        </w:rPr>
      </w:pPr>
      <w:r>
        <w:rPr>
          <w:rFonts w:hint="eastAsia" w:ascii="黑体" w:hAnsi="黑体" w:eastAsia="黑体" w:cs="黑体"/>
          <w:b/>
          <w:bCs/>
          <w:snapToGrid/>
          <w:color w:val="000000" w:themeColor="text1"/>
          <w:kern w:val="2"/>
          <w:sz w:val="30"/>
          <w:szCs w:val="30"/>
          <w:lang w:val="en-US" w:eastAsia="en-US" w:bidi="ar-SA"/>
          <w14:textFill>
            <w14:solidFill>
              <w14:schemeClr w14:val="tx1"/>
            </w14:solidFill>
          </w14:textFill>
        </w:rPr>
        <w:t>二、全面预算管理系统</w:t>
      </w:r>
    </w:p>
    <w:p w14:paraId="4840C70D">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zh-CN" w:bidi="ar-SA"/>
        </w:rPr>
        <w:t>需按照</w:t>
      </w:r>
      <w:r>
        <w:rPr>
          <w:rFonts w:hint="eastAsia" w:ascii="仿宋_GB2312" w:hAnsi="仿宋_GB2312" w:eastAsia="仿宋_GB2312" w:cs="仿宋_GB2312"/>
          <w:snapToGrid w:val="0"/>
          <w:color w:val="000000"/>
          <w:kern w:val="0"/>
          <w:sz w:val="32"/>
          <w:szCs w:val="32"/>
          <w:lang w:val="en-US" w:eastAsia="en-US" w:bidi="ar-SA"/>
        </w:rPr>
        <w:t>《国家卫生健康委国家中医药管理局关于印发公立医院全面预算管理制度实施办法的通知》</w:t>
      </w:r>
      <w:r>
        <w:rPr>
          <w:rFonts w:hint="eastAsia" w:ascii="仿宋_GB2312" w:hAnsi="仿宋_GB2312" w:eastAsia="仿宋_GB2312" w:cs="仿宋_GB2312"/>
          <w:snapToGrid w:val="0"/>
          <w:color w:val="000000"/>
          <w:kern w:val="0"/>
          <w:sz w:val="32"/>
          <w:szCs w:val="32"/>
          <w:lang w:val="en-US" w:eastAsia="zh-CN" w:bidi="ar-SA"/>
        </w:rPr>
        <w:t>，</w:t>
      </w:r>
      <w:r>
        <w:rPr>
          <w:rFonts w:hint="eastAsia" w:ascii="仿宋_GB2312" w:hAnsi="仿宋_GB2312" w:eastAsia="仿宋_GB2312" w:cs="仿宋_GB2312"/>
          <w:snapToGrid w:val="0"/>
          <w:color w:val="000000"/>
          <w:kern w:val="0"/>
          <w:sz w:val="32"/>
          <w:szCs w:val="32"/>
          <w:lang w:val="en-US" w:eastAsia="en-US" w:bidi="ar-SA"/>
        </w:rPr>
        <w:t>医院应当按照《医院信息化应用技术指引》和《全国医院信息化建设标准与规范》等文件要求，加强预算管理信息化建设，对预算编制、审核、执行、调整、决算、分析、考核的全过程实现信息化管理，提高医院管理和运行效率。</w:t>
      </w:r>
    </w:p>
    <w:p w14:paraId="39981513">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我院拟搭建的医院预算管理</w:t>
      </w:r>
      <w:r>
        <w:rPr>
          <w:rFonts w:hint="eastAsia" w:ascii="仿宋_GB2312" w:hAnsi="仿宋_GB2312" w:eastAsia="仿宋_GB2312" w:cs="仿宋_GB2312"/>
          <w:snapToGrid w:val="0"/>
          <w:color w:val="000000"/>
          <w:kern w:val="0"/>
          <w:sz w:val="32"/>
          <w:szCs w:val="32"/>
          <w:lang w:val="en-US" w:eastAsia="zh-CN" w:bidi="ar-SA"/>
        </w:rPr>
        <w:t>系统需以</w:t>
      </w:r>
      <w:r>
        <w:rPr>
          <w:rFonts w:hint="eastAsia" w:ascii="仿宋_GB2312" w:hAnsi="仿宋_GB2312" w:eastAsia="仿宋_GB2312" w:cs="仿宋_GB2312"/>
          <w:snapToGrid w:val="0"/>
          <w:color w:val="000000"/>
          <w:kern w:val="0"/>
          <w:sz w:val="32"/>
          <w:szCs w:val="32"/>
          <w:lang w:val="en-US" w:eastAsia="en-US" w:bidi="ar-SA"/>
        </w:rPr>
        <w:t>医院经济运行控</w:t>
      </w:r>
      <w:r>
        <w:rPr>
          <w:rFonts w:hint="eastAsia" w:ascii="仿宋_GB2312" w:hAnsi="仿宋_GB2312" w:eastAsia="仿宋_GB2312" w:cs="仿宋_GB2312"/>
          <w:snapToGrid w:val="0"/>
          <w:color w:val="000000"/>
          <w:kern w:val="0"/>
          <w:sz w:val="32"/>
          <w:szCs w:val="32"/>
          <w:lang w:val="en-US" w:eastAsia="zh-CN" w:bidi="ar-SA"/>
        </w:rPr>
        <w:t>制为</w:t>
      </w:r>
      <w:r>
        <w:rPr>
          <w:rFonts w:hint="eastAsia" w:ascii="仿宋_GB2312" w:hAnsi="仿宋_GB2312" w:eastAsia="仿宋_GB2312" w:cs="仿宋_GB2312"/>
          <w:snapToGrid w:val="0"/>
          <w:color w:val="000000"/>
          <w:kern w:val="0"/>
          <w:sz w:val="32"/>
          <w:szCs w:val="32"/>
          <w:lang w:val="en-US" w:eastAsia="en-US" w:bidi="ar-SA"/>
        </w:rPr>
        <w:t>主线，包括业务预算、收入预算、支出预算、项目预算、采购预算、资金预算等内容，实现各预算之间的联控功能；支持自上而下、自下而上、两上两下等编制流程；支持预算编制、</w:t>
      </w:r>
      <w:r>
        <w:rPr>
          <w:rFonts w:hint="eastAsia" w:ascii="仿宋_GB2312" w:hAnsi="仿宋_GB2312" w:eastAsia="仿宋_GB2312" w:cs="仿宋_GB2312"/>
          <w:snapToGrid w:val="0"/>
          <w:color w:val="000000"/>
          <w:kern w:val="0"/>
          <w:sz w:val="32"/>
          <w:szCs w:val="32"/>
          <w:lang w:val="en-US" w:eastAsia="zh-CN" w:bidi="ar-SA"/>
        </w:rPr>
        <w:t>预算</w:t>
      </w:r>
      <w:r>
        <w:rPr>
          <w:rFonts w:hint="eastAsia" w:ascii="仿宋_GB2312" w:hAnsi="仿宋_GB2312" w:eastAsia="仿宋_GB2312" w:cs="仿宋_GB2312"/>
          <w:snapToGrid w:val="0"/>
          <w:color w:val="000000"/>
          <w:kern w:val="0"/>
          <w:sz w:val="32"/>
          <w:szCs w:val="32"/>
          <w:lang w:val="en-US" w:eastAsia="en-US" w:bidi="ar-SA"/>
        </w:rPr>
        <w:t>审核</w:t>
      </w:r>
      <w:r>
        <w:rPr>
          <w:rFonts w:hint="eastAsia" w:ascii="仿宋_GB2312" w:hAnsi="仿宋_GB2312" w:eastAsia="仿宋_GB2312" w:cs="仿宋_GB2312"/>
          <w:snapToGrid w:val="0"/>
          <w:color w:val="000000"/>
          <w:kern w:val="0"/>
          <w:sz w:val="32"/>
          <w:szCs w:val="32"/>
          <w:lang w:val="en-US" w:eastAsia="zh-CN" w:bidi="ar-SA"/>
        </w:rPr>
        <w:t>及预警、预算分解下达、</w:t>
      </w:r>
      <w:r>
        <w:rPr>
          <w:rFonts w:hint="eastAsia" w:ascii="仿宋_GB2312" w:hAnsi="仿宋_GB2312" w:eastAsia="仿宋_GB2312" w:cs="仿宋_GB2312"/>
          <w:snapToGrid w:val="0"/>
          <w:color w:val="000000"/>
          <w:kern w:val="0"/>
          <w:sz w:val="32"/>
          <w:szCs w:val="32"/>
          <w:lang w:val="en-US" w:eastAsia="en-US" w:bidi="ar-SA"/>
        </w:rPr>
        <w:t>预算执行</w:t>
      </w:r>
      <w:r>
        <w:rPr>
          <w:rFonts w:hint="eastAsia" w:ascii="仿宋_GB2312" w:hAnsi="仿宋_GB2312" w:eastAsia="仿宋_GB2312" w:cs="仿宋_GB2312"/>
          <w:snapToGrid w:val="0"/>
          <w:color w:val="000000"/>
          <w:kern w:val="0"/>
          <w:sz w:val="32"/>
          <w:szCs w:val="32"/>
          <w:lang w:val="en-US" w:eastAsia="zh-CN" w:bidi="ar-SA"/>
        </w:rPr>
        <w:t>（</w:t>
      </w:r>
      <w:r>
        <w:rPr>
          <w:rFonts w:hint="eastAsia" w:ascii="仿宋_GB2312" w:hAnsi="仿宋_GB2312" w:eastAsia="仿宋_GB2312" w:cs="仿宋_GB2312"/>
          <w:snapToGrid w:val="0"/>
          <w:color w:val="000000"/>
          <w:kern w:val="0"/>
          <w:sz w:val="32"/>
          <w:szCs w:val="32"/>
          <w:lang w:val="en-US" w:eastAsia="en-US" w:bidi="ar-SA"/>
        </w:rPr>
        <w:t>实时监控</w:t>
      </w:r>
      <w:r>
        <w:rPr>
          <w:rFonts w:hint="eastAsia" w:ascii="仿宋_GB2312" w:hAnsi="仿宋_GB2312" w:eastAsia="仿宋_GB2312" w:cs="仿宋_GB2312"/>
          <w:snapToGrid w:val="0"/>
          <w:color w:val="000000"/>
          <w:kern w:val="0"/>
          <w:sz w:val="32"/>
          <w:szCs w:val="32"/>
          <w:lang w:val="en-US" w:eastAsia="zh-CN" w:bidi="ar-SA"/>
        </w:rPr>
        <w:t>、预警、</w:t>
      </w:r>
      <w:r>
        <w:rPr>
          <w:rFonts w:hint="eastAsia" w:ascii="仿宋_GB2312" w:hAnsi="仿宋_GB2312" w:eastAsia="仿宋_GB2312" w:cs="仿宋_GB2312"/>
          <w:snapToGrid w:val="0"/>
          <w:color w:val="000000"/>
          <w:kern w:val="0"/>
          <w:sz w:val="32"/>
          <w:szCs w:val="32"/>
          <w:lang w:val="en-US" w:eastAsia="en-US" w:bidi="ar-SA"/>
        </w:rPr>
        <w:t>执行核销</w:t>
      </w:r>
      <w:r>
        <w:rPr>
          <w:rFonts w:hint="eastAsia" w:ascii="仿宋_GB2312" w:hAnsi="仿宋_GB2312" w:eastAsia="仿宋_GB2312" w:cs="仿宋_GB2312"/>
          <w:snapToGrid w:val="0"/>
          <w:color w:val="000000"/>
          <w:kern w:val="0"/>
          <w:sz w:val="32"/>
          <w:szCs w:val="32"/>
          <w:lang w:val="en-US" w:eastAsia="zh-CN" w:bidi="ar-SA"/>
        </w:rPr>
        <w:t>）</w:t>
      </w:r>
      <w:r>
        <w:rPr>
          <w:rFonts w:hint="eastAsia" w:ascii="仿宋_GB2312" w:hAnsi="仿宋_GB2312" w:eastAsia="仿宋_GB2312" w:cs="仿宋_GB2312"/>
          <w:snapToGrid w:val="0"/>
          <w:color w:val="000000"/>
          <w:kern w:val="0"/>
          <w:sz w:val="32"/>
          <w:szCs w:val="32"/>
          <w:lang w:val="en-US" w:eastAsia="en-US" w:bidi="ar-SA"/>
        </w:rPr>
        <w:t>、</w:t>
      </w:r>
      <w:r>
        <w:rPr>
          <w:rFonts w:hint="eastAsia" w:ascii="仿宋_GB2312" w:hAnsi="仿宋_GB2312" w:eastAsia="仿宋_GB2312" w:cs="仿宋_GB2312"/>
          <w:snapToGrid w:val="0"/>
          <w:color w:val="000000"/>
          <w:kern w:val="0"/>
          <w:sz w:val="32"/>
          <w:szCs w:val="32"/>
          <w:lang w:val="en-US" w:eastAsia="zh-CN" w:bidi="ar-SA"/>
        </w:rPr>
        <w:t>预算调整、</w:t>
      </w:r>
      <w:r>
        <w:rPr>
          <w:rFonts w:hint="eastAsia" w:ascii="仿宋_GB2312" w:hAnsi="仿宋_GB2312" w:eastAsia="仿宋_GB2312" w:cs="仿宋_GB2312"/>
          <w:snapToGrid w:val="0"/>
          <w:color w:val="000000"/>
          <w:kern w:val="0"/>
          <w:sz w:val="32"/>
          <w:szCs w:val="32"/>
          <w:lang w:val="en-US" w:eastAsia="en-US" w:bidi="ar-SA"/>
        </w:rPr>
        <w:t>预算执行分析、</w:t>
      </w:r>
      <w:r>
        <w:rPr>
          <w:rFonts w:hint="eastAsia" w:ascii="仿宋_GB2312" w:hAnsi="仿宋_GB2312" w:eastAsia="仿宋_GB2312" w:cs="仿宋_GB2312"/>
          <w:snapToGrid w:val="0"/>
          <w:color w:val="000000"/>
          <w:kern w:val="0"/>
          <w:sz w:val="32"/>
          <w:szCs w:val="32"/>
          <w:lang w:val="en-US" w:eastAsia="zh-CN" w:bidi="ar-SA"/>
        </w:rPr>
        <w:t>预算中长期规划、</w:t>
      </w:r>
      <w:r>
        <w:rPr>
          <w:rFonts w:hint="eastAsia" w:ascii="仿宋_GB2312" w:hAnsi="仿宋_GB2312" w:eastAsia="仿宋_GB2312" w:cs="仿宋_GB2312"/>
          <w:snapToGrid w:val="0"/>
          <w:color w:val="000000"/>
          <w:kern w:val="0"/>
          <w:sz w:val="32"/>
          <w:szCs w:val="32"/>
          <w:lang w:val="en-US" w:eastAsia="en-US" w:bidi="ar-SA"/>
        </w:rPr>
        <w:t>预算绩效</w:t>
      </w:r>
      <w:r>
        <w:rPr>
          <w:rFonts w:hint="eastAsia" w:ascii="仿宋_GB2312" w:hAnsi="仿宋_GB2312" w:eastAsia="仿宋_GB2312" w:cs="仿宋_GB2312"/>
          <w:snapToGrid w:val="0"/>
          <w:color w:val="000000"/>
          <w:kern w:val="0"/>
          <w:sz w:val="32"/>
          <w:szCs w:val="32"/>
          <w:lang w:val="en-US" w:eastAsia="zh-CN" w:bidi="ar-SA"/>
        </w:rPr>
        <w:t>目标申报及监控</w:t>
      </w:r>
      <w:r>
        <w:rPr>
          <w:rFonts w:hint="eastAsia" w:ascii="仿宋_GB2312" w:hAnsi="仿宋_GB2312" w:eastAsia="仿宋_GB2312" w:cs="仿宋_GB2312"/>
          <w:snapToGrid w:val="0"/>
          <w:color w:val="000000"/>
          <w:kern w:val="0"/>
          <w:sz w:val="32"/>
          <w:szCs w:val="32"/>
          <w:lang w:val="en-US" w:eastAsia="en-US" w:bidi="ar-SA"/>
        </w:rPr>
        <w:t>考评</w:t>
      </w:r>
      <w:r>
        <w:rPr>
          <w:rFonts w:hint="eastAsia" w:ascii="仿宋_GB2312" w:hAnsi="仿宋_GB2312" w:eastAsia="仿宋_GB2312" w:cs="仿宋_GB2312"/>
          <w:snapToGrid w:val="0"/>
          <w:color w:val="000000"/>
          <w:kern w:val="0"/>
          <w:sz w:val="32"/>
          <w:szCs w:val="32"/>
          <w:lang w:val="en-US" w:eastAsia="zh-CN" w:bidi="ar-SA"/>
        </w:rPr>
        <w:t>，实现对编制依据、编制过程、历史数据、论证结果等数据查询追溯，实现归口管理线上论证分析与统筹。生成预算/财务分析报告</w:t>
      </w:r>
      <w:r>
        <w:rPr>
          <w:rFonts w:hint="eastAsia" w:ascii="仿宋_GB2312" w:hAnsi="仿宋_GB2312" w:eastAsia="仿宋_GB2312" w:cs="仿宋_GB2312"/>
          <w:snapToGrid w:val="0"/>
          <w:color w:val="000000"/>
          <w:kern w:val="0"/>
          <w:sz w:val="32"/>
          <w:szCs w:val="32"/>
          <w:lang w:val="en-US" w:eastAsia="en-US" w:bidi="ar-SA"/>
        </w:rPr>
        <w:t>等功能</w:t>
      </w:r>
      <w:r>
        <w:rPr>
          <w:rFonts w:hint="eastAsia" w:ascii="仿宋_GB2312" w:hAnsi="仿宋_GB2312" w:eastAsia="仿宋_GB2312" w:cs="仿宋_GB2312"/>
          <w:snapToGrid w:val="0"/>
          <w:color w:val="000000"/>
          <w:kern w:val="0"/>
          <w:sz w:val="32"/>
          <w:szCs w:val="32"/>
          <w:lang w:val="en-US" w:eastAsia="zh-CN" w:bidi="ar-SA"/>
        </w:rPr>
        <w:t>；支持关联报销系统等</w:t>
      </w:r>
      <w:r>
        <w:rPr>
          <w:rFonts w:hint="eastAsia" w:ascii="仿宋_GB2312" w:hAnsi="仿宋_GB2312" w:eastAsia="仿宋_GB2312" w:cs="仿宋_GB2312"/>
          <w:snapToGrid w:val="0"/>
          <w:color w:val="000000"/>
          <w:kern w:val="0"/>
          <w:sz w:val="32"/>
          <w:szCs w:val="32"/>
          <w:lang w:val="en-US" w:eastAsia="en-US" w:bidi="ar-SA"/>
        </w:rPr>
        <w:t>。搭建全面预算管理系统将有利于我院实现全面预算管理，更加侧重业务运营预算管理，实现预算成本绩效一体化。</w:t>
      </w:r>
    </w:p>
    <w:p w14:paraId="3D706854">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业务预算：满足门诊人次、入出院人次、手术人次计划需求，支持DRG/DIP权重/分值计划测算；</w:t>
      </w:r>
    </w:p>
    <w:p w14:paraId="5423C79F">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收入预算：支持门诊、住院、DRG/DIP收入预算编制，满足科室收支平衡点测算等功能；</w:t>
      </w:r>
    </w:p>
    <w:p w14:paraId="3F10C968">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满足医院运营管理需求，按照诊次、床日进行敏感度分析编制预算；</w:t>
      </w:r>
    </w:p>
    <w:p w14:paraId="4644BC5B">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预算系统预置一套预算业务导图，整体展示预算全过程功能布局以及业务逻辑关系；业务操作套图中功能点均为快捷入口，将分散业务集中方便快速切入，且具有引导业务开展的作用；业务操作导图可支持用户自行设计，通过“图形+链接”模式快速满足医院预算管理需求和部门、人员操作习惯或业务场景适配。</w:t>
      </w:r>
    </w:p>
    <w:p w14:paraId="1FDDD8BF">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支持按照预算年度进行预算编制任务的下达，按预算年度存档；任务下达内容自定义，包括：预算编制任务内容编撰、相关任务文件选取、归口部门及人员要求以及任务下达流程制定；</w:t>
      </w:r>
    </w:p>
    <w:p w14:paraId="308582F6">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满足预算绩效一体化管理，支持以预算为导向的内部控制。</w:t>
      </w:r>
    </w:p>
    <w:p w14:paraId="356A9975">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2" w:firstLineChars="200"/>
        <w:jc w:val="both"/>
        <w:textAlignment w:val="baseline"/>
        <w:rPr>
          <w:rFonts w:hint="eastAsia" w:ascii="黑体" w:hAnsi="黑体" w:eastAsia="黑体" w:cs="黑体"/>
          <w:b/>
          <w:bCs/>
          <w:snapToGrid/>
          <w:color w:val="000000" w:themeColor="text1"/>
          <w:kern w:val="2"/>
          <w:sz w:val="30"/>
          <w:szCs w:val="30"/>
          <w:lang w:val="en-US" w:eastAsia="en-US" w:bidi="ar-SA"/>
          <w14:textFill>
            <w14:solidFill>
              <w14:schemeClr w14:val="tx1"/>
            </w14:solidFill>
          </w14:textFill>
        </w:rPr>
      </w:pPr>
      <w:r>
        <w:rPr>
          <w:rFonts w:hint="eastAsia" w:ascii="黑体" w:hAnsi="黑体" w:eastAsia="黑体" w:cs="黑体"/>
          <w:b/>
          <w:bCs/>
          <w:snapToGrid/>
          <w:color w:val="000000" w:themeColor="text1"/>
          <w:kern w:val="2"/>
          <w:sz w:val="30"/>
          <w:szCs w:val="30"/>
          <w:lang w:val="en-US" w:eastAsia="en-US" w:bidi="ar-SA"/>
          <w14:textFill>
            <w14:solidFill>
              <w14:schemeClr w14:val="tx1"/>
            </w14:solidFill>
          </w14:textFill>
        </w:rPr>
        <w:t>三、DRG智慧决策分析系统</w:t>
      </w:r>
    </w:p>
    <w:p w14:paraId="3CD91E7F">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zh-CN" w:bidi="ar-SA"/>
        </w:rPr>
        <w:t>需按照</w:t>
      </w:r>
      <w:r>
        <w:rPr>
          <w:rFonts w:hint="eastAsia" w:ascii="仿宋_GB2312" w:hAnsi="仿宋_GB2312" w:eastAsia="仿宋_GB2312" w:cs="仿宋_GB2312"/>
          <w:snapToGrid w:val="0"/>
          <w:color w:val="000000"/>
          <w:kern w:val="0"/>
          <w:sz w:val="32"/>
          <w:szCs w:val="32"/>
          <w:lang w:val="en-US" w:eastAsia="en-US" w:bidi="ar-SA"/>
        </w:rPr>
        <w:t>《国家卫生健康委办公厅国家中医药局办公室关于印发公立医院运营管理信息化功能指引的通知》第二点第十一条内容，医院需要及时掌握分析医保制度下医院运营情况，及时采取有效的应对措施，推进医院健康可持续发展，包括完善医保结算、单病种医保费用管理、医保费用核查、医保查询、按疾病诊断相关分组/按病种分值付费控费等。</w:t>
      </w:r>
    </w:p>
    <w:p w14:paraId="68D843D0">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我院拟搭建的DRG智慧决策分析系统预计实现DRG分组、预收入管理、医生智能小助手、医保盈亏管理、DRG下DIP分组管理等功能，</w:t>
      </w:r>
      <w:r>
        <w:rPr>
          <w:rFonts w:hint="eastAsia" w:ascii="仿宋_GB2312" w:hAnsi="仿宋_GB2312" w:eastAsia="仿宋_GB2312" w:cs="仿宋_GB2312"/>
          <w:snapToGrid w:val="0"/>
          <w:color w:val="000000"/>
          <w:kern w:val="0"/>
          <w:sz w:val="32"/>
          <w:szCs w:val="32"/>
          <w:lang w:val="en-US" w:eastAsia="zh-CN" w:bidi="ar-SA"/>
        </w:rPr>
        <w:t>实现我院DRG病种标准临床路径管理，</w:t>
      </w:r>
      <w:r>
        <w:rPr>
          <w:rFonts w:hint="eastAsia" w:ascii="仿宋_GB2312" w:hAnsi="仿宋_GB2312" w:eastAsia="仿宋_GB2312" w:cs="仿宋_GB2312"/>
          <w:snapToGrid w:val="0"/>
          <w:color w:val="000000"/>
          <w:kern w:val="0"/>
          <w:sz w:val="32"/>
          <w:szCs w:val="32"/>
          <w:lang w:val="en-US" w:eastAsia="en-US" w:bidi="ar-SA"/>
        </w:rPr>
        <w:t>支持医院实现医保高质量建设。</w:t>
      </w:r>
    </w:p>
    <w:p w14:paraId="39FC9161">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按疾病诊断相关分组/按病种分值付费控费：</w:t>
      </w:r>
      <w:r>
        <w:rPr>
          <w:rFonts w:hint="eastAsia" w:ascii="仿宋_GB2312" w:hAnsi="仿宋_GB2312" w:eastAsia="仿宋_GB2312" w:cs="仿宋_GB2312"/>
          <w:snapToGrid w:val="0"/>
          <w:color w:val="000000"/>
          <w:kern w:val="0"/>
          <w:sz w:val="32"/>
          <w:szCs w:val="32"/>
          <w:lang w:val="en-US" w:eastAsia="zh-CN" w:bidi="ar-SA"/>
        </w:rPr>
        <w:t>实现出院病例和</w:t>
      </w:r>
      <w:r>
        <w:rPr>
          <w:rFonts w:hint="eastAsia" w:ascii="仿宋_GB2312" w:hAnsi="仿宋_GB2312" w:eastAsia="仿宋_GB2312" w:cs="仿宋_GB2312"/>
          <w:snapToGrid w:val="0"/>
          <w:color w:val="000000"/>
          <w:kern w:val="0"/>
          <w:sz w:val="32"/>
          <w:szCs w:val="32"/>
          <w:lang w:val="en-US" w:eastAsia="en-US" w:bidi="ar-SA"/>
        </w:rPr>
        <w:t>在院病例分组，对医保付费流程进行</w:t>
      </w:r>
      <w:r>
        <w:rPr>
          <w:rFonts w:hint="eastAsia" w:ascii="仿宋_GB2312" w:hAnsi="仿宋_GB2312" w:eastAsia="仿宋_GB2312" w:cs="仿宋_GB2312"/>
          <w:snapToGrid w:val="0"/>
          <w:color w:val="000000"/>
          <w:kern w:val="0"/>
          <w:sz w:val="32"/>
          <w:szCs w:val="32"/>
          <w:lang w:val="en-US" w:eastAsia="zh-CN" w:bidi="ar-SA"/>
        </w:rPr>
        <w:t>事前</w:t>
      </w:r>
      <w:r>
        <w:rPr>
          <w:rFonts w:hint="eastAsia" w:ascii="仿宋_GB2312" w:hAnsi="仿宋_GB2312" w:eastAsia="仿宋_GB2312" w:cs="仿宋_GB2312"/>
          <w:snapToGrid w:val="0"/>
          <w:color w:val="000000"/>
          <w:kern w:val="0"/>
          <w:sz w:val="32"/>
          <w:szCs w:val="32"/>
          <w:lang w:val="en-US" w:eastAsia="en-US" w:bidi="ar-SA"/>
        </w:rPr>
        <w:t>预警</w:t>
      </w:r>
      <w:r>
        <w:rPr>
          <w:rFonts w:hint="eastAsia" w:ascii="仿宋_GB2312" w:hAnsi="仿宋_GB2312" w:eastAsia="仿宋_GB2312" w:cs="仿宋_GB2312"/>
          <w:snapToGrid w:val="0"/>
          <w:color w:val="000000"/>
          <w:kern w:val="0"/>
          <w:sz w:val="32"/>
          <w:szCs w:val="32"/>
          <w:lang w:val="en-US" w:eastAsia="zh-CN" w:bidi="ar-SA"/>
        </w:rPr>
        <w:t>、事中</w:t>
      </w:r>
      <w:r>
        <w:rPr>
          <w:rFonts w:hint="eastAsia" w:ascii="仿宋_GB2312" w:hAnsi="仿宋_GB2312" w:eastAsia="仿宋_GB2312" w:cs="仿宋_GB2312"/>
          <w:snapToGrid w:val="0"/>
          <w:color w:val="000000"/>
          <w:kern w:val="0"/>
          <w:sz w:val="32"/>
          <w:szCs w:val="32"/>
          <w:lang w:val="en-US" w:eastAsia="en-US" w:bidi="ar-SA"/>
        </w:rPr>
        <w:t>监控</w:t>
      </w:r>
      <w:r>
        <w:rPr>
          <w:rFonts w:hint="eastAsia" w:ascii="仿宋_GB2312" w:hAnsi="仿宋_GB2312" w:eastAsia="仿宋_GB2312" w:cs="仿宋_GB2312"/>
          <w:snapToGrid w:val="0"/>
          <w:color w:val="000000"/>
          <w:kern w:val="0"/>
          <w:sz w:val="32"/>
          <w:szCs w:val="32"/>
          <w:lang w:val="en-US" w:eastAsia="zh-CN" w:bidi="ar-SA"/>
        </w:rPr>
        <w:t>、事后分析，</w:t>
      </w:r>
      <w:r>
        <w:rPr>
          <w:rFonts w:hint="eastAsia" w:ascii="仿宋_GB2312" w:hAnsi="仿宋_GB2312" w:eastAsia="仿宋_GB2312" w:cs="仿宋_GB2312"/>
          <w:snapToGrid w:val="0"/>
          <w:color w:val="000000"/>
          <w:kern w:val="0"/>
          <w:sz w:val="32"/>
          <w:szCs w:val="32"/>
          <w:lang w:val="en-US" w:eastAsia="en-US" w:bidi="ar-SA"/>
        </w:rPr>
        <w:t>支持费用超支预警、病例分组分析、全院科室及病种的盈亏分析等。</w:t>
      </w:r>
    </w:p>
    <w:p w14:paraId="2A2FFE5B">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实现与成本核算系统和绩效系统无缝对接，满足DRG下DIP拆包成本核算，满足绩效管理各种数据指标需求。</w:t>
      </w:r>
    </w:p>
    <w:p w14:paraId="4E90076A">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对账管理：支持医保结算金额与应收医保款账面金额对账，出具对账分析报表、明细数据联查等。</w:t>
      </w:r>
    </w:p>
    <w:p w14:paraId="3E9F6E8C">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综合分析：对综合能力、外科能力、疑难病例诊治能力、医疗质量等进行分析。</w:t>
      </w:r>
    </w:p>
    <w:p w14:paraId="0CD7634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2" w:firstLineChars="200"/>
        <w:jc w:val="both"/>
        <w:textAlignment w:val="baseline"/>
        <w:rPr>
          <w:rFonts w:hint="eastAsia" w:ascii="黑体" w:hAnsi="黑体" w:eastAsia="黑体" w:cs="黑体"/>
          <w:b/>
          <w:bCs/>
          <w:snapToGrid/>
          <w:color w:val="000000" w:themeColor="text1"/>
          <w:kern w:val="2"/>
          <w:sz w:val="30"/>
          <w:szCs w:val="30"/>
          <w:lang w:val="en-US" w:eastAsia="en-US" w:bidi="ar-SA"/>
          <w14:textFill>
            <w14:solidFill>
              <w14:schemeClr w14:val="tx1"/>
            </w14:solidFill>
          </w14:textFill>
        </w:rPr>
      </w:pPr>
      <w:r>
        <w:rPr>
          <w:rFonts w:hint="eastAsia" w:ascii="黑体" w:hAnsi="黑体" w:eastAsia="黑体" w:cs="黑体"/>
          <w:b/>
          <w:bCs/>
          <w:snapToGrid/>
          <w:color w:val="000000" w:themeColor="text1"/>
          <w:kern w:val="2"/>
          <w:sz w:val="30"/>
          <w:szCs w:val="30"/>
          <w:lang w:val="en-US" w:eastAsia="en-US" w:bidi="ar-SA"/>
          <w14:textFill>
            <w14:solidFill>
              <w14:schemeClr w14:val="tx1"/>
            </w14:solidFill>
          </w14:textFill>
        </w:rPr>
        <w:t>四、合同管理系统</w:t>
      </w:r>
    </w:p>
    <w:p w14:paraId="58E03203">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zh-CN" w:bidi="ar-SA"/>
        </w:rPr>
        <w:t>需按照</w:t>
      </w:r>
      <w:r>
        <w:rPr>
          <w:rFonts w:hint="eastAsia" w:ascii="仿宋_GB2312" w:hAnsi="仿宋_GB2312" w:eastAsia="仿宋_GB2312" w:cs="仿宋_GB2312"/>
          <w:snapToGrid w:val="0"/>
          <w:color w:val="000000"/>
          <w:kern w:val="0"/>
          <w:sz w:val="32"/>
          <w:szCs w:val="32"/>
          <w:lang w:val="en-US" w:eastAsia="en-US" w:bidi="ar-SA"/>
        </w:rPr>
        <w:t>《国家卫生健康委国家中医药管理局关于印发公立医院内部控制管理办法的通知》第二十七条内容，医院应当加强信息平台化、集成化建设，实现主要信息系统互联互通、信息共享，包含但不限于预算、收支、库存、采购、资产、建设项目、合同、科研管理等模块。</w:t>
      </w:r>
    </w:p>
    <w:p w14:paraId="4562110A">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我院拟搭建的合同管理系统</w:t>
      </w:r>
      <w:r>
        <w:rPr>
          <w:rFonts w:hint="eastAsia" w:ascii="仿宋_GB2312" w:hAnsi="仿宋_GB2312" w:eastAsia="仿宋_GB2312" w:cs="仿宋_GB2312"/>
          <w:snapToGrid w:val="0"/>
          <w:color w:val="000000"/>
          <w:kern w:val="0"/>
          <w:sz w:val="32"/>
          <w:szCs w:val="32"/>
          <w:lang w:val="en-US" w:eastAsia="zh-CN" w:bidi="ar-SA"/>
        </w:rPr>
        <w:t>需具备与采购全流程系统、资产管理系统、财务系统等实现联动，覆盖医院各类合同（包括设备采购合同、租赁合同、建设工程合同、科研合同、教学合同、医疗服务合同、医疗合作协议等）管理，实现</w:t>
      </w:r>
      <w:r>
        <w:rPr>
          <w:rFonts w:hint="eastAsia" w:ascii="仿宋_GB2312" w:hAnsi="仿宋_GB2312" w:eastAsia="仿宋_GB2312" w:cs="仿宋_GB2312"/>
          <w:snapToGrid w:val="0"/>
          <w:color w:val="000000"/>
          <w:kern w:val="0"/>
          <w:sz w:val="32"/>
          <w:szCs w:val="32"/>
          <w:lang w:val="en-US" w:eastAsia="en-US" w:bidi="ar-SA"/>
        </w:rPr>
        <w:t>包含</w:t>
      </w:r>
      <w:r>
        <w:rPr>
          <w:rFonts w:hint="eastAsia" w:ascii="仿宋_GB2312" w:hAnsi="仿宋_GB2312" w:eastAsia="仿宋_GB2312" w:cs="仿宋_GB2312"/>
          <w:snapToGrid w:val="0"/>
          <w:color w:val="000000"/>
          <w:kern w:val="0"/>
          <w:sz w:val="32"/>
          <w:szCs w:val="32"/>
          <w:lang w:val="en-US" w:eastAsia="zh-CN" w:bidi="ar-SA"/>
        </w:rPr>
        <w:t>在线审批审阅，电子合同归档，合同全过程管理（</w:t>
      </w:r>
      <w:r>
        <w:rPr>
          <w:rFonts w:hint="eastAsia" w:ascii="仿宋_GB2312" w:hAnsi="仿宋_GB2312" w:eastAsia="仿宋_GB2312" w:cs="仿宋_GB2312"/>
          <w:snapToGrid w:val="0"/>
          <w:color w:val="000000"/>
          <w:kern w:val="0"/>
          <w:sz w:val="32"/>
          <w:szCs w:val="32"/>
          <w:lang w:val="en-US" w:eastAsia="en-US" w:bidi="ar-SA"/>
        </w:rPr>
        <w:t>供应商登记、合同档案、合同登记审批、合同资金申请、合同付款、合同变更、合同纠纷</w:t>
      </w:r>
      <w:r>
        <w:rPr>
          <w:rFonts w:hint="eastAsia" w:ascii="仿宋_GB2312" w:hAnsi="仿宋_GB2312" w:eastAsia="仿宋_GB2312" w:cs="仿宋_GB2312"/>
          <w:snapToGrid w:val="0"/>
          <w:color w:val="000000"/>
          <w:kern w:val="0"/>
          <w:sz w:val="32"/>
          <w:szCs w:val="32"/>
          <w:lang w:val="en-US" w:eastAsia="zh-CN" w:bidi="ar-SA"/>
        </w:rPr>
        <w:t>及</w:t>
      </w:r>
      <w:r>
        <w:rPr>
          <w:rFonts w:hint="eastAsia" w:ascii="仿宋_GB2312" w:hAnsi="仿宋_GB2312" w:eastAsia="仿宋_GB2312" w:cs="仿宋_GB2312"/>
          <w:snapToGrid w:val="0"/>
          <w:color w:val="000000"/>
          <w:kern w:val="0"/>
          <w:sz w:val="32"/>
          <w:szCs w:val="32"/>
          <w:lang w:val="en-US" w:eastAsia="en-US" w:bidi="ar-SA"/>
        </w:rPr>
        <w:t>终止、合同完工评价、质保金收取</w:t>
      </w:r>
      <w:r>
        <w:rPr>
          <w:rFonts w:hint="eastAsia" w:ascii="仿宋_GB2312" w:hAnsi="仿宋_GB2312" w:eastAsia="仿宋_GB2312" w:cs="仿宋_GB2312"/>
          <w:snapToGrid w:val="0"/>
          <w:color w:val="000000"/>
          <w:kern w:val="0"/>
          <w:sz w:val="32"/>
          <w:szCs w:val="32"/>
          <w:lang w:val="en-US" w:eastAsia="zh-CN" w:bidi="ar-SA"/>
        </w:rPr>
        <w:t>及</w:t>
      </w:r>
      <w:r>
        <w:rPr>
          <w:rFonts w:hint="eastAsia" w:ascii="仿宋_GB2312" w:hAnsi="仿宋_GB2312" w:eastAsia="仿宋_GB2312" w:cs="仿宋_GB2312"/>
          <w:snapToGrid w:val="0"/>
          <w:color w:val="000000"/>
          <w:kern w:val="0"/>
          <w:sz w:val="32"/>
          <w:szCs w:val="32"/>
          <w:lang w:val="en-US" w:eastAsia="en-US" w:bidi="ar-SA"/>
        </w:rPr>
        <w:t>退还等</w:t>
      </w:r>
      <w:r>
        <w:rPr>
          <w:rFonts w:hint="eastAsia" w:ascii="仿宋_GB2312" w:hAnsi="仿宋_GB2312" w:eastAsia="仿宋_GB2312" w:cs="仿宋_GB2312"/>
          <w:snapToGrid w:val="0"/>
          <w:color w:val="000000"/>
          <w:kern w:val="0"/>
          <w:sz w:val="32"/>
          <w:szCs w:val="32"/>
          <w:lang w:val="en-US" w:eastAsia="zh-CN" w:bidi="ar-SA"/>
        </w:rPr>
        <w:t>）</w:t>
      </w:r>
      <w:r>
        <w:rPr>
          <w:rFonts w:hint="eastAsia" w:ascii="仿宋_GB2312" w:hAnsi="仿宋_GB2312" w:eastAsia="仿宋_GB2312" w:cs="仿宋_GB2312"/>
          <w:snapToGrid w:val="0"/>
          <w:color w:val="000000"/>
          <w:kern w:val="0"/>
          <w:sz w:val="32"/>
          <w:szCs w:val="32"/>
          <w:lang w:val="en-US" w:eastAsia="en-US" w:bidi="ar-SA"/>
        </w:rPr>
        <w:t>功能。</w:t>
      </w:r>
    </w:p>
    <w:p w14:paraId="7DC484F1">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2" w:firstLineChars="200"/>
        <w:jc w:val="both"/>
        <w:textAlignment w:val="baseline"/>
        <w:rPr>
          <w:rFonts w:hint="eastAsia" w:ascii="黑体" w:hAnsi="黑体" w:eastAsia="黑体" w:cs="黑体"/>
          <w:b/>
          <w:bCs/>
          <w:snapToGrid/>
          <w:color w:val="000000" w:themeColor="text1"/>
          <w:kern w:val="2"/>
          <w:sz w:val="30"/>
          <w:szCs w:val="30"/>
          <w:lang w:val="en-US" w:eastAsia="en-US" w:bidi="ar-SA"/>
          <w14:textFill>
            <w14:solidFill>
              <w14:schemeClr w14:val="tx1"/>
            </w14:solidFill>
          </w14:textFill>
        </w:rPr>
      </w:pPr>
      <w:r>
        <w:rPr>
          <w:rFonts w:hint="eastAsia" w:ascii="黑体" w:hAnsi="黑体" w:eastAsia="黑体" w:cs="黑体"/>
          <w:b/>
          <w:bCs/>
          <w:snapToGrid/>
          <w:color w:val="000000" w:themeColor="text1"/>
          <w:kern w:val="2"/>
          <w:sz w:val="30"/>
          <w:szCs w:val="30"/>
          <w:lang w:val="en-US" w:eastAsia="en-US" w:bidi="ar-SA"/>
          <w14:textFill>
            <w14:solidFill>
              <w14:schemeClr w14:val="tx1"/>
            </w14:solidFill>
          </w14:textFill>
        </w:rPr>
        <w:t>五、采购全流程管理系统</w:t>
      </w:r>
    </w:p>
    <w:p w14:paraId="28DE3AEF">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zh-CN" w:bidi="ar-SA"/>
        </w:rPr>
        <w:t>需按照</w:t>
      </w:r>
      <w:r>
        <w:rPr>
          <w:rFonts w:hint="eastAsia" w:ascii="仿宋_GB2312" w:hAnsi="仿宋_GB2312" w:eastAsia="仿宋_GB2312" w:cs="仿宋_GB2312"/>
          <w:snapToGrid w:val="0"/>
          <w:color w:val="000000"/>
          <w:kern w:val="0"/>
          <w:sz w:val="32"/>
          <w:szCs w:val="32"/>
          <w:lang w:val="en-US" w:eastAsia="en-US" w:bidi="ar-SA"/>
        </w:rPr>
        <w:t>《国家卫生健康委国家中医药管理局关于印发公立医院内部控制管理办法的通知》第二十七条内容，医院应当加强信息平台化、集成化建设，实现主要信息系统互联互通、信息共享，包含但不限于预算、收支、库存、采购、资产、建设项目、合同、科研管理等模块。</w:t>
      </w:r>
    </w:p>
    <w:p w14:paraId="176811C4">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采购全流程管理系统包含采购预算管理、采购申请管理、采购执行管理、中标成交管理、网上竞价管理、快速采购管理、采购合同管理、采购验收管理、采购目录及采购档案管理、供应商管理、代理机构管理等模块。通过搭建系统，将有利于医院实现合同管理、预算管理、采购管理相结合，达到全流程管理的内部控制目标。</w:t>
      </w:r>
      <w:bookmarkStart w:id="0" w:name="_GoBack"/>
      <w:bookmarkEnd w:id="0"/>
    </w:p>
    <w:p w14:paraId="520BCC5D">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2" w:firstLineChars="200"/>
        <w:jc w:val="both"/>
        <w:textAlignment w:val="baseline"/>
        <w:rPr>
          <w:rFonts w:hint="eastAsia" w:ascii="黑体" w:hAnsi="黑体" w:eastAsia="黑体" w:cs="黑体"/>
          <w:b/>
          <w:bCs/>
          <w:snapToGrid/>
          <w:color w:val="000000" w:themeColor="text1"/>
          <w:kern w:val="2"/>
          <w:sz w:val="30"/>
          <w:szCs w:val="30"/>
          <w:lang w:val="en-US" w:eastAsia="en-US" w:bidi="ar-SA"/>
          <w14:textFill>
            <w14:solidFill>
              <w14:schemeClr w14:val="tx1"/>
            </w14:solidFill>
          </w14:textFill>
        </w:rPr>
      </w:pPr>
      <w:r>
        <w:rPr>
          <w:rFonts w:hint="eastAsia" w:ascii="黑体" w:hAnsi="黑体" w:eastAsia="黑体" w:cs="黑体"/>
          <w:b/>
          <w:bCs/>
          <w:snapToGrid/>
          <w:color w:val="000000" w:themeColor="text1"/>
          <w:kern w:val="2"/>
          <w:sz w:val="30"/>
          <w:szCs w:val="30"/>
          <w:lang w:val="en-US" w:eastAsia="en-US" w:bidi="ar-SA"/>
          <w14:textFill>
            <w14:solidFill>
              <w14:schemeClr w14:val="tx1"/>
            </w14:solidFill>
          </w14:textFill>
        </w:rPr>
        <w:t>六、财务报销系统</w:t>
      </w:r>
    </w:p>
    <w:p w14:paraId="377B03EA">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zh-CN" w:bidi="ar-SA"/>
        </w:rPr>
        <w:t>需按照</w:t>
      </w:r>
      <w:r>
        <w:rPr>
          <w:rFonts w:hint="eastAsia" w:ascii="仿宋_GB2312" w:hAnsi="仿宋_GB2312" w:eastAsia="仿宋_GB2312" w:cs="仿宋_GB2312"/>
          <w:snapToGrid w:val="0"/>
          <w:color w:val="000000"/>
          <w:kern w:val="0"/>
          <w:sz w:val="32"/>
          <w:szCs w:val="32"/>
          <w:lang w:val="en-US" w:eastAsia="en-US" w:bidi="ar-SA"/>
        </w:rPr>
        <w:t>《国家卫生健康委国家中医药管理局关于印发公立医院内部控制管理办法的通知》第二十九条内容，医院应当严格支出管理，明确经济活动各项支出标准和范围，规范报销流程，加强支出审核和支付控制；实行国库集中支付的，应当按照财政管理制度有关规定执行。《国家卫生健康委办公厅国家中医药局办公室关于印发公立医院运营管理信息化功能指引的通知》第三点第十六条也指出，报账管理系统的建设建议包括报账设置、费用申请、借/还款管理、报销管理等功能。</w:t>
      </w:r>
    </w:p>
    <w:p w14:paraId="57638773">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en-US" w:bidi="ar-SA"/>
        </w:rPr>
        <w:t>我院拟搭建的财务报销系统</w:t>
      </w:r>
      <w:r>
        <w:rPr>
          <w:rFonts w:hint="eastAsia" w:ascii="仿宋_GB2312" w:hAnsi="仿宋_GB2312" w:eastAsia="仿宋_GB2312" w:cs="仿宋_GB2312"/>
          <w:snapToGrid w:val="0"/>
          <w:color w:val="000000"/>
          <w:kern w:val="0"/>
          <w:sz w:val="32"/>
          <w:szCs w:val="32"/>
          <w:lang w:val="en-US" w:eastAsia="zh-CN" w:bidi="ar-SA"/>
        </w:rPr>
        <w:t>需与全面预算管理系统联动，</w:t>
      </w:r>
      <w:r>
        <w:rPr>
          <w:rFonts w:hint="eastAsia" w:ascii="仿宋_GB2312" w:hAnsi="仿宋_GB2312" w:eastAsia="仿宋_GB2312" w:cs="仿宋_GB2312"/>
          <w:snapToGrid w:val="0"/>
          <w:color w:val="000000"/>
          <w:kern w:val="0"/>
          <w:sz w:val="32"/>
          <w:szCs w:val="32"/>
          <w:lang w:val="en-US" w:eastAsia="en-US" w:bidi="ar-SA"/>
        </w:rPr>
        <w:t>包含网上预算填报、费用报销</w:t>
      </w:r>
      <w:r>
        <w:rPr>
          <w:rFonts w:hint="eastAsia" w:ascii="仿宋_GB2312" w:hAnsi="仿宋_GB2312" w:eastAsia="仿宋_GB2312" w:cs="仿宋_GB2312"/>
          <w:snapToGrid w:val="0"/>
          <w:color w:val="000000"/>
          <w:kern w:val="0"/>
          <w:sz w:val="32"/>
          <w:szCs w:val="32"/>
          <w:lang w:val="en-US" w:eastAsia="zh-CN" w:bidi="ar-SA"/>
        </w:rPr>
        <w:t>、一键生成会计凭证推送、成本核算、</w:t>
      </w:r>
      <w:r>
        <w:rPr>
          <w:rFonts w:hint="eastAsia" w:ascii="仿宋_GB2312" w:hAnsi="仿宋_GB2312" w:eastAsia="仿宋_GB2312" w:cs="仿宋_GB2312"/>
          <w:snapToGrid w:val="0"/>
          <w:color w:val="000000"/>
          <w:kern w:val="0"/>
          <w:sz w:val="32"/>
          <w:szCs w:val="32"/>
          <w:lang w:val="en-US" w:eastAsia="en-US" w:bidi="ar-SA"/>
        </w:rPr>
        <w:t>预算执行情况</w:t>
      </w:r>
      <w:r>
        <w:rPr>
          <w:rFonts w:hint="eastAsia" w:ascii="仿宋_GB2312" w:hAnsi="仿宋_GB2312" w:eastAsia="仿宋_GB2312" w:cs="仿宋_GB2312"/>
          <w:snapToGrid w:val="0"/>
          <w:color w:val="000000"/>
          <w:kern w:val="0"/>
          <w:sz w:val="32"/>
          <w:szCs w:val="32"/>
          <w:lang w:val="en-US" w:eastAsia="zh-CN" w:bidi="ar-SA"/>
        </w:rPr>
        <w:t>实现超标预警功能</w:t>
      </w:r>
      <w:r>
        <w:rPr>
          <w:rFonts w:hint="eastAsia" w:ascii="仿宋_GB2312" w:hAnsi="仿宋_GB2312" w:eastAsia="仿宋_GB2312" w:cs="仿宋_GB2312"/>
          <w:snapToGrid w:val="0"/>
          <w:color w:val="000000"/>
          <w:kern w:val="0"/>
          <w:sz w:val="32"/>
          <w:szCs w:val="32"/>
          <w:lang w:val="en-US" w:eastAsia="en-US" w:bidi="ar-SA"/>
        </w:rPr>
        <w:t>等功能</w:t>
      </w:r>
      <w:r>
        <w:rPr>
          <w:rFonts w:hint="eastAsia" w:ascii="仿宋_GB2312" w:hAnsi="仿宋_GB2312" w:eastAsia="仿宋_GB2312" w:cs="仿宋_GB2312"/>
          <w:snapToGrid w:val="0"/>
          <w:color w:val="000000"/>
          <w:kern w:val="0"/>
          <w:sz w:val="32"/>
          <w:szCs w:val="32"/>
          <w:lang w:val="en-US" w:eastAsia="zh-CN" w:bidi="ar-SA"/>
        </w:rPr>
        <w:t>。将</w:t>
      </w:r>
      <w:r>
        <w:rPr>
          <w:rFonts w:hint="eastAsia" w:ascii="仿宋_GB2312" w:hAnsi="仿宋_GB2312" w:eastAsia="仿宋_GB2312" w:cs="仿宋_GB2312"/>
          <w:snapToGrid w:val="0"/>
          <w:color w:val="000000"/>
          <w:kern w:val="0"/>
          <w:sz w:val="32"/>
          <w:szCs w:val="32"/>
          <w:lang w:val="en-US" w:eastAsia="en-US" w:bidi="ar-SA"/>
        </w:rPr>
        <w:t>预算、申请、报销、付款、凭证各环节全信息</w:t>
      </w:r>
      <w:r>
        <w:rPr>
          <w:rFonts w:hint="eastAsia" w:ascii="仿宋_GB2312" w:hAnsi="仿宋_GB2312" w:eastAsia="仿宋_GB2312" w:cs="仿宋_GB2312"/>
          <w:snapToGrid w:val="0"/>
          <w:color w:val="000000"/>
          <w:kern w:val="0"/>
          <w:sz w:val="32"/>
          <w:szCs w:val="32"/>
          <w:lang w:val="en-US" w:eastAsia="zh-CN" w:bidi="ar-SA"/>
        </w:rPr>
        <w:t>整合，打通“费用申请－预算关联－消费记录－报销单据－报销审批－出纳支付－财务记账”的报销流程，确保费用支出有依据。利用OCR自动识别</w:t>
      </w:r>
      <w:r>
        <w:rPr>
          <w:rFonts w:hint="eastAsia" w:ascii="仿宋_GB2312" w:hAnsi="仿宋_GB2312" w:eastAsia="仿宋_GB2312" w:cs="仿宋_GB2312"/>
          <w:snapToGrid w:val="0"/>
          <w:color w:val="000000"/>
          <w:kern w:val="0"/>
          <w:sz w:val="32"/>
          <w:szCs w:val="32"/>
          <w:lang w:val="en-US" w:eastAsia="en-US" w:bidi="ar-SA"/>
        </w:rPr>
        <w:t>技术，</w:t>
      </w:r>
      <w:r>
        <w:rPr>
          <w:rFonts w:hint="eastAsia" w:ascii="仿宋_GB2312" w:hAnsi="仿宋_GB2312" w:eastAsia="仿宋_GB2312" w:cs="仿宋_GB2312"/>
          <w:snapToGrid w:val="0"/>
          <w:color w:val="000000"/>
          <w:kern w:val="0"/>
          <w:sz w:val="32"/>
          <w:szCs w:val="32"/>
          <w:lang w:val="en-US" w:eastAsia="zh-CN" w:bidi="ar-SA"/>
        </w:rPr>
        <w:t>对电子</w:t>
      </w:r>
      <w:r>
        <w:rPr>
          <w:rFonts w:hint="eastAsia" w:ascii="仿宋_GB2312" w:hAnsi="仿宋_GB2312" w:eastAsia="仿宋_GB2312" w:cs="仿宋_GB2312"/>
          <w:snapToGrid w:val="0"/>
          <w:color w:val="000000"/>
          <w:kern w:val="0"/>
          <w:sz w:val="32"/>
          <w:szCs w:val="32"/>
          <w:lang w:val="en-US" w:eastAsia="en-US" w:bidi="ar-SA"/>
        </w:rPr>
        <w:t>票验真查重</w:t>
      </w:r>
      <w:r>
        <w:rPr>
          <w:rFonts w:hint="eastAsia" w:ascii="仿宋_GB2312" w:hAnsi="仿宋_GB2312" w:eastAsia="仿宋_GB2312" w:cs="仿宋_GB2312"/>
          <w:snapToGrid w:val="0"/>
          <w:color w:val="000000"/>
          <w:kern w:val="0"/>
          <w:sz w:val="32"/>
          <w:szCs w:val="32"/>
          <w:lang w:val="en-US" w:eastAsia="zh-CN" w:bidi="ar-SA"/>
        </w:rPr>
        <w:t>。在系统</w:t>
      </w:r>
      <w:r>
        <w:rPr>
          <w:rFonts w:hint="eastAsia" w:ascii="仿宋_GB2312" w:hAnsi="仿宋_GB2312" w:eastAsia="仿宋_GB2312" w:cs="仿宋_GB2312"/>
          <w:snapToGrid w:val="0"/>
          <w:color w:val="000000"/>
          <w:kern w:val="0"/>
          <w:sz w:val="32"/>
          <w:szCs w:val="32"/>
          <w:lang w:val="en-US" w:eastAsia="en-US" w:bidi="ar-SA"/>
        </w:rPr>
        <w:t>明确经济活动各项支出标准和范围，规范报销流程，</w:t>
      </w:r>
      <w:r>
        <w:rPr>
          <w:rFonts w:hint="eastAsia" w:ascii="仿宋_GB2312" w:hAnsi="仿宋_GB2312" w:eastAsia="仿宋_GB2312" w:cs="仿宋_GB2312"/>
          <w:snapToGrid w:val="0"/>
          <w:color w:val="000000"/>
          <w:kern w:val="0"/>
          <w:sz w:val="32"/>
          <w:szCs w:val="32"/>
          <w:lang w:val="en-US" w:eastAsia="zh-CN" w:bidi="ar-SA"/>
        </w:rPr>
        <w:t>减少</w:t>
      </w:r>
      <w:r>
        <w:rPr>
          <w:rFonts w:hint="eastAsia" w:ascii="仿宋_GB2312" w:hAnsi="仿宋_GB2312" w:eastAsia="仿宋_GB2312" w:cs="仿宋_GB2312"/>
          <w:snapToGrid w:val="0"/>
          <w:color w:val="000000"/>
          <w:kern w:val="0"/>
          <w:sz w:val="32"/>
          <w:szCs w:val="32"/>
          <w:lang w:val="en-US" w:eastAsia="en-US" w:bidi="ar-SA"/>
        </w:rPr>
        <w:t>单据填写</w:t>
      </w:r>
      <w:r>
        <w:rPr>
          <w:rFonts w:hint="eastAsia" w:ascii="仿宋_GB2312" w:hAnsi="仿宋_GB2312" w:eastAsia="仿宋_GB2312" w:cs="仿宋_GB2312"/>
          <w:snapToGrid w:val="0"/>
          <w:color w:val="000000"/>
          <w:kern w:val="0"/>
          <w:sz w:val="32"/>
          <w:szCs w:val="32"/>
          <w:lang w:val="en-US" w:eastAsia="zh-CN" w:bidi="ar-SA"/>
        </w:rPr>
        <w:t>失误，</w:t>
      </w:r>
      <w:r>
        <w:rPr>
          <w:rFonts w:hint="eastAsia" w:ascii="仿宋_GB2312" w:hAnsi="仿宋_GB2312" w:eastAsia="仿宋_GB2312" w:cs="仿宋_GB2312"/>
          <w:snapToGrid w:val="0"/>
          <w:color w:val="000000"/>
          <w:kern w:val="0"/>
          <w:sz w:val="32"/>
          <w:szCs w:val="32"/>
          <w:lang w:val="en-US" w:eastAsia="en-US" w:bidi="ar-SA"/>
        </w:rPr>
        <w:t>减少反复咨询报销要求、查询预算余额的沟通成本</w:t>
      </w:r>
      <w:r>
        <w:rPr>
          <w:rFonts w:hint="eastAsia" w:ascii="仿宋_GB2312" w:hAnsi="仿宋_GB2312" w:eastAsia="仿宋_GB2312" w:cs="仿宋_GB2312"/>
          <w:snapToGrid w:val="0"/>
          <w:color w:val="000000"/>
          <w:kern w:val="0"/>
          <w:sz w:val="32"/>
          <w:szCs w:val="32"/>
          <w:lang w:val="en-US" w:eastAsia="zh-CN" w:bidi="ar-SA"/>
        </w:rPr>
        <w:t>，实现</w:t>
      </w:r>
      <w:r>
        <w:rPr>
          <w:rFonts w:hint="eastAsia" w:ascii="仿宋_GB2312" w:hAnsi="仿宋_GB2312" w:eastAsia="仿宋_GB2312" w:cs="仿宋_GB2312"/>
          <w:snapToGrid w:val="0"/>
          <w:color w:val="000000"/>
          <w:kern w:val="0"/>
          <w:sz w:val="32"/>
          <w:szCs w:val="32"/>
          <w:lang w:val="en-US" w:eastAsia="en-US" w:bidi="ar-SA"/>
        </w:rPr>
        <w:t>报销业务支出标准化、报销便捷化、流程自动化、票据影像化、审批移动化、档案电子化和业财一体化</w:t>
      </w:r>
      <w:r>
        <w:rPr>
          <w:rFonts w:hint="eastAsia" w:ascii="仿宋_GB2312" w:hAnsi="仿宋_GB2312" w:eastAsia="仿宋_GB2312" w:cs="仿宋_GB2312"/>
          <w:snapToGrid w:val="0"/>
          <w:color w:val="000000"/>
          <w:kern w:val="0"/>
          <w:sz w:val="32"/>
          <w:szCs w:val="32"/>
          <w:lang w:val="en-US" w:eastAsia="zh-CN" w:bidi="ar-SA"/>
        </w:rPr>
        <w:t>，</w:t>
      </w:r>
      <w:r>
        <w:rPr>
          <w:rFonts w:hint="eastAsia" w:ascii="仿宋_GB2312" w:hAnsi="仿宋_GB2312" w:eastAsia="仿宋_GB2312" w:cs="仿宋_GB2312"/>
          <w:snapToGrid w:val="0"/>
          <w:color w:val="000000"/>
          <w:kern w:val="0"/>
          <w:sz w:val="32"/>
          <w:szCs w:val="32"/>
          <w:lang w:val="en-US" w:eastAsia="en-US" w:bidi="ar-SA"/>
        </w:rPr>
        <w:t>缩短报销审批周期、支付周期实现智能审核、</w:t>
      </w:r>
      <w:r>
        <w:rPr>
          <w:rFonts w:hint="eastAsia" w:ascii="仿宋_GB2312" w:hAnsi="仿宋_GB2312" w:eastAsia="仿宋_GB2312" w:cs="仿宋_GB2312"/>
          <w:snapToGrid w:val="0"/>
          <w:color w:val="000000"/>
          <w:kern w:val="0"/>
          <w:sz w:val="32"/>
          <w:szCs w:val="32"/>
          <w:lang w:val="en-US" w:eastAsia="zh-CN" w:bidi="ar-SA"/>
        </w:rPr>
        <w:t>快速支付</w:t>
      </w:r>
      <w:r>
        <w:rPr>
          <w:rFonts w:hint="eastAsia" w:ascii="仿宋_GB2312" w:hAnsi="仿宋_GB2312" w:eastAsia="仿宋_GB2312" w:cs="仿宋_GB2312"/>
          <w:snapToGrid w:val="0"/>
          <w:color w:val="000000"/>
          <w:kern w:val="0"/>
          <w:sz w:val="32"/>
          <w:szCs w:val="32"/>
          <w:lang w:val="en-US" w:eastAsia="en-US" w:bidi="ar-SA"/>
        </w:rPr>
        <w:t>。</w:t>
      </w:r>
    </w:p>
    <w:p w14:paraId="190DFD9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2" w:firstLineChars="200"/>
        <w:jc w:val="both"/>
        <w:textAlignment w:val="baseline"/>
        <w:rPr>
          <w:rFonts w:hint="eastAsia" w:ascii="黑体" w:hAnsi="黑体" w:eastAsia="黑体" w:cs="黑体"/>
          <w:b/>
          <w:bCs/>
          <w:snapToGrid/>
          <w:color w:val="000000" w:themeColor="text1"/>
          <w:kern w:val="2"/>
          <w:sz w:val="30"/>
          <w:szCs w:val="30"/>
          <w:lang w:val="en-US" w:eastAsia="zh-CN" w:bidi="ar-SA"/>
          <w14:textFill>
            <w14:solidFill>
              <w14:schemeClr w14:val="tx1"/>
            </w14:solidFill>
          </w14:textFill>
        </w:rPr>
      </w:pPr>
      <w:r>
        <w:rPr>
          <w:rFonts w:hint="eastAsia" w:ascii="黑体" w:hAnsi="黑体" w:eastAsia="黑体" w:cs="黑体"/>
          <w:b/>
          <w:bCs/>
          <w:snapToGrid/>
          <w:color w:val="000000" w:themeColor="text1"/>
          <w:kern w:val="2"/>
          <w:sz w:val="30"/>
          <w:szCs w:val="30"/>
          <w:lang w:val="en-US" w:eastAsia="en-US" w:bidi="ar-SA"/>
          <w14:textFill>
            <w14:solidFill>
              <w14:schemeClr w14:val="tx1"/>
            </w14:solidFill>
          </w14:textFill>
        </w:rPr>
        <w:t>七、资产管理信息系统</w:t>
      </w:r>
    </w:p>
    <w:p w14:paraId="550517D5">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zh-CN" w:bidi="ar-SA"/>
        </w:rPr>
        <w:t>需按照</w:t>
      </w:r>
      <w:r>
        <w:rPr>
          <w:rFonts w:hint="eastAsia" w:ascii="仿宋_GB2312" w:hAnsi="仿宋_GB2312" w:eastAsia="仿宋_GB2312" w:cs="仿宋_GB2312"/>
          <w:snapToGrid w:val="0"/>
          <w:color w:val="000000"/>
          <w:kern w:val="0"/>
          <w:sz w:val="32"/>
          <w:szCs w:val="32"/>
          <w:lang w:val="en-US" w:eastAsia="en-US" w:bidi="ar-SA"/>
        </w:rPr>
        <w:t>《国家卫生健康委办公厅国家中医药局办公室关于印发公立医院运营管理信息化功能指引的通知》第四点第二十条内容，资产管理需围绕医院固定资产及无形资产的日常核算等全过程，实现对固定资产及无形资产等的全生命周期流程管理，系统建设建议包括资产信息管理、资产购置管理、资产调拨、资产盘点、资产质量及效益分析等10个功能。</w:t>
      </w:r>
    </w:p>
    <w:p w14:paraId="4087B416">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en-US" w:bidi="ar-SA"/>
        </w:rPr>
        <w:t>我院拟搭建的资产管理信息系统</w:t>
      </w:r>
      <w:r>
        <w:rPr>
          <w:rFonts w:hint="eastAsia" w:ascii="仿宋_GB2312" w:hAnsi="仿宋_GB2312" w:eastAsia="仿宋_GB2312" w:cs="仿宋_GB2312"/>
          <w:snapToGrid w:val="0"/>
          <w:color w:val="000000"/>
          <w:kern w:val="0"/>
          <w:sz w:val="32"/>
          <w:szCs w:val="32"/>
          <w:lang w:val="en-US" w:eastAsia="zh-CN" w:bidi="ar-SA"/>
        </w:rPr>
        <w:t>需</w:t>
      </w:r>
      <w:r>
        <w:rPr>
          <w:rFonts w:hint="eastAsia" w:ascii="仿宋_GB2312" w:hAnsi="仿宋_GB2312" w:eastAsia="仿宋_GB2312" w:cs="仿宋_GB2312"/>
          <w:snapToGrid w:val="0"/>
          <w:color w:val="000000"/>
          <w:kern w:val="0"/>
          <w:sz w:val="32"/>
          <w:szCs w:val="32"/>
          <w:lang w:val="en-US" w:eastAsia="en-US" w:bidi="ar-SA"/>
        </w:rPr>
        <w:t>包含</w:t>
      </w:r>
      <w:r>
        <w:rPr>
          <w:rFonts w:hint="eastAsia" w:ascii="仿宋_GB2312" w:hAnsi="仿宋_GB2312" w:eastAsia="仿宋_GB2312" w:cs="仿宋_GB2312"/>
          <w:snapToGrid w:val="0"/>
          <w:color w:val="000000"/>
          <w:kern w:val="0"/>
          <w:sz w:val="32"/>
          <w:szCs w:val="32"/>
          <w:lang w:val="en-US" w:eastAsia="zh-CN" w:bidi="ar-SA"/>
        </w:rPr>
        <w:t>资产购置模块与采购全流程系统能实现联动、</w:t>
      </w:r>
      <w:r>
        <w:rPr>
          <w:rFonts w:hint="eastAsia" w:ascii="仿宋_GB2312" w:hAnsi="仿宋_GB2312" w:eastAsia="仿宋_GB2312" w:cs="仿宋_GB2312"/>
          <w:snapToGrid w:val="0"/>
          <w:color w:val="000000"/>
          <w:kern w:val="0"/>
          <w:sz w:val="32"/>
          <w:szCs w:val="32"/>
          <w:lang w:val="en-US" w:eastAsia="en-US" w:bidi="ar-SA"/>
        </w:rPr>
        <w:t>资产</w:t>
      </w:r>
      <w:r>
        <w:rPr>
          <w:rFonts w:hint="eastAsia" w:ascii="仿宋_GB2312" w:hAnsi="仿宋_GB2312" w:eastAsia="仿宋_GB2312" w:cs="仿宋_GB2312"/>
          <w:snapToGrid w:val="0"/>
          <w:color w:val="000000"/>
          <w:kern w:val="0"/>
          <w:sz w:val="32"/>
          <w:szCs w:val="32"/>
          <w:lang w:val="en-US" w:eastAsia="zh-CN" w:bidi="ar-SA"/>
        </w:rPr>
        <w:t>出入库</w:t>
      </w:r>
      <w:r>
        <w:rPr>
          <w:rFonts w:hint="eastAsia" w:ascii="仿宋_GB2312" w:hAnsi="仿宋_GB2312" w:eastAsia="仿宋_GB2312" w:cs="仿宋_GB2312"/>
          <w:snapToGrid w:val="0"/>
          <w:color w:val="000000"/>
          <w:kern w:val="0"/>
          <w:sz w:val="32"/>
          <w:szCs w:val="32"/>
          <w:lang w:val="en-US" w:eastAsia="en-US" w:bidi="ar-SA"/>
        </w:rPr>
        <w:t>信息录入</w:t>
      </w:r>
      <w:r>
        <w:rPr>
          <w:rFonts w:hint="eastAsia" w:ascii="仿宋_GB2312" w:hAnsi="仿宋_GB2312" w:eastAsia="仿宋_GB2312" w:cs="仿宋_GB2312"/>
          <w:snapToGrid w:val="0"/>
          <w:color w:val="000000"/>
          <w:kern w:val="0"/>
          <w:sz w:val="32"/>
          <w:szCs w:val="32"/>
          <w:lang w:val="en-US" w:eastAsia="zh-CN" w:bidi="ar-SA"/>
        </w:rPr>
        <w:t>、资产信息台账及</w:t>
      </w:r>
      <w:r>
        <w:rPr>
          <w:rFonts w:hint="eastAsia" w:ascii="仿宋_GB2312" w:hAnsi="仿宋_GB2312" w:eastAsia="仿宋_GB2312" w:cs="仿宋_GB2312"/>
          <w:snapToGrid w:val="0"/>
          <w:color w:val="000000"/>
          <w:kern w:val="0"/>
          <w:sz w:val="32"/>
          <w:szCs w:val="32"/>
          <w:lang w:val="en-US" w:eastAsia="en-US" w:bidi="ar-SA"/>
        </w:rPr>
        <w:t>查询、</w:t>
      </w:r>
      <w:r>
        <w:rPr>
          <w:rFonts w:hint="eastAsia" w:ascii="仿宋_GB2312" w:hAnsi="仿宋_GB2312" w:eastAsia="仿宋_GB2312" w:cs="仿宋_GB2312"/>
          <w:snapToGrid w:val="0"/>
          <w:color w:val="000000"/>
          <w:kern w:val="0"/>
          <w:sz w:val="32"/>
          <w:szCs w:val="32"/>
          <w:lang w:val="en-US" w:eastAsia="zh-CN" w:bidi="ar-SA"/>
        </w:rPr>
        <w:t>资产主设备及附属设备信息数据关联、</w:t>
      </w:r>
      <w:r>
        <w:rPr>
          <w:rFonts w:hint="eastAsia" w:ascii="仿宋_GB2312" w:hAnsi="仿宋_GB2312" w:eastAsia="仿宋_GB2312" w:cs="仿宋_GB2312"/>
          <w:snapToGrid w:val="0"/>
          <w:color w:val="000000"/>
          <w:kern w:val="0"/>
          <w:sz w:val="32"/>
          <w:szCs w:val="32"/>
          <w:lang w:val="en-US" w:eastAsia="en-US" w:bidi="ar-SA"/>
        </w:rPr>
        <w:t>资产快速盘点及清查</w:t>
      </w:r>
      <w:r>
        <w:rPr>
          <w:rFonts w:hint="eastAsia" w:ascii="仿宋_GB2312" w:hAnsi="仿宋_GB2312" w:eastAsia="仿宋_GB2312" w:cs="仿宋_GB2312"/>
          <w:snapToGrid w:val="0"/>
          <w:color w:val="000000"/>
          <w:kern w:val="0"/>
          <w:sz w:val="32"/>
          <w:szCs w:val="32"/>
          <w:lang w:val="en-US" w:eastAsia="zh-CN" w:bidi="ar-SA"/>
        </w:rPr>
        <w:t>（</w:t>
      </w:r>
      <w:r>
        <w:rPr>
          <w:rFonts w:hint="eastAsia" w:ascii="仿宋_GB2312" w:hAnsi="仿宋_GB2312" w:eastAsia="仿宋_GB2312" w:cs="仿宋_GB2312"/>
          <w:snapToGrid w:val="0"/>
          <w:color w:val="000000"/>
          <w:kern w:val="0"/>
          <w:sz w:val="32"/>
          <w:szCs w:val="32"/>
          <w:lang w:val="en-US" w:eastAsia="en-US" w:bidi="ar-SA"/>
        </w:rPr>
        <w:t>主要</w:t>
      </w:r>
      <w:r>
        <w:rPr>
          <w:rFonts w:hint="eastAsia" w:ascii="仿宋_GB2312" w:hAnsi="仿宋_GB2312" w:eastAsia="仿宋_GB2312" w:cs="仿宋_GB2312"/>
          <w:snapToGrid w:val="0"/>
          <w:color w:val="000000"/>
          <w:kern w:val="0"/>
          <w:sz w:val="32"/>
          <w:szCs w:val="32"/>
          <w:lang w:val="en-US" w:eastAsia="zh-CN" w:bidi="ar-SA"/>
        </w:rPr>
        <w:t>通过固定资产条码</w:t>
      </w:r>
      <w:r>
        <w:rPr>
          <w:rFonts w:hint="eastAsia" w:ascii="仿宋_GB2312" w:hAnsi="仿宋_GB2312" w:eastAsia="仿宋_GB2312" w:cs="仿宋_GB2312"/>
          <w:snapToGrid w:val="0"/>
          <w:color w:val="000000"/>
          <w:kern w:val="0"/>
          <w:sz w:val="32"/>
          <w:szCs w:val="32"/>
          <w:lang w:val="en-US" w:eastAsia="en-US" w:bidi="ar-SA"/>
        </w:rPr>
        <w:t>RFID标签实现</w:t>
      </w:r>
      <w:r>
        <w:rPr>
          <w:rFonts w:hint="eastAsia" w:ascii="仿宋_GB2312" w:hAnsi="仿宋_GB2312" w:eastAsia="仿宋_GB2312" w:cs="仿宋_GB2312"/>
          <w:snapToGrid w:val="0"/>
          <w:color w:val="000000"/>
          <w:kern w:val="0"/>
          <w:sz w:val="32"/>
          <w:szCs w:val="32"/>
          <w:lang w:val="en-US" w:eastAsia="zh-CN" w:bidi="ar-SA"/>
        </w:rPr>
        <w:t>）</w:t>
      </w:r>
      <w:r>
        <w:rPr>
          <w:rFonts w:hint="eastAsia" w:ascii="仿宋_GB2312" w:hAnsi="仿宋_GB2312" w:eastAsia="仿宋_GB2312" w:cs="仿宋_GB2312"/>
          <w:snapToGrid w:val="0"/>
          <w:color w:val="000000"/>
          <w:kern w:val="0"/>
          <w:sz w:val="32"/>
          <w:szCs w:val="32"/>
          <w:lang w:val="en-US" w:eastAsia="en-US" w:bidi="ar-SA"/>
        </w:rPr>
        <w:t>、资产</w:t>
      </w:r>
      <w:r>
        <w:rPr>
          <w:rFonts w:hint="eastAsia" w:ascii="仿宋_GB2312" w:hAnsi="仿宋_GB2312" w:eastAsia="仿宋_GB2312" w:cs="仿宋_GB2312"/>
          <w:snapToGrid w:val="0"/>
          <w:color w:val="000000"/>
          <w:kern w:val="0"/>
          <w:sz w:val="32"/>
          <w:szCs w:val="32"/>
          <w:lang w:val="en-US" w:eastAsia="zh-CN" w:bidi="ar-SA"/>
        </w:rPr>
        <w:t>内部共享</w:t>
      </w:r>
      <w:r>
        <w:rPr>
          <w:rFonts w:hint="eastAsia" w:ascii="仿宋_GB2312" w:hAnsi="仿宋_GB2312" w:eastAsia="仿宋_GB2312" w:cs="仿宋_GB2312"/>
          <w:snapToGrid w:val="0"/>
          <w:color w:val="000000"/>
          <w:kern w:val="0"/>
          <w:sz w:val="32"/>
          <w:szCs w:val="32"/>
          <w:lang w:val="en-US" w:eastAsia="en-US" w:bidi="ar-SA"/>
        </w:rPr>
        <w:t>调拨</w:t>
      </w:r>
      <w:r>
        <w:rPr>
          <w:rFonts w:hint="eastAsia" w:ascii="仿宋_GB2312" w:hAnsi="仿宋_GB2312" w:eastAsia="仿宋_GB2312" w:cs="仿宋_GB2312"/>
          <w:snapToGrid w:val="0"/>
          <w:color w:val="000000"/>
          <w:kern w:val="0"/>
          <w:sz w:val="32"/>
          <w:szCs w:val="32"/>
          <w:lang w:val="en-US" w:eastAsia="zh-CN" w:bidi="ar-SA"/>
        </w:rPr>
        <w:t>、资产</w:t>
      </w:r>
      <w:r>
        <w:rPr>
          <w:rFonts w:hint="eastAsia" w:ascii="仿宋_GB2312" w:hAnsi="仿宋_GB2312" w:eastAsia="仿宋_GB2312" w:cs="仿宋_GB2312"/>
          <w:snapToGrid w:val="0"/>
          <w:color w:val="000000"/>
          <w:kern w:val="0"/>
          <w:sz w:val="32"/>
          <w:szCs w:val="32"/>
          <w:lang w:val="en-US" w:eastAsia="en-US" w:bidi="ar-SA"/>
        </w:rPr>
        <w:t>处置</w:t>
      </w:r>
      <w:r>
        <w:rPr>
          <w:rFonts w:hint="eastAsia" w:ascii="仿宋_GB2312" w:hAnsi="仿宋_GB2312" w:eastAsia="仿宋_GB2312" w:cs="仿宋_GB2312"/>
          <w:snapToGrid w:val="0"/>
          <w:color w:val="000000"/>
          <w:kern w:val="0"/>
          <w:sz w:val="32"/>
          <w:szCs w:val="32"/>
          <w:lang w:val="en-US" w:eastAsia="zh-CN" w:bidi="ar-SA"/>
        </w:rPr>
        <w:t>、</w:t>
      </w:r>
      <w:r>
        <w:rPr>
          <w:rFonts w:hint="eastAsia" w:ascii="仿宋_GB2312" w:hAnsi="仿宋_GB2312" w:eastAsia="仿宋_GB2312" w:cs="仿宋_GB2312"/>
          <w:snapToGrid w:val="0"/>
          <w:color w:val="000000"/>
          <w:kern w:val="0"/>
          <w:sz w:val="32"/>
          <w:szCs w:val="32"/>
          <w:lang w:val="en-US" w:eastAsia="en-US" w:bidi="ar-SA"/>
        </w:rPr>
        <w:t>资产使用</w:t>
      </w:r>
      <w:r>
        <w:rPr>
          <w:rFonts w:hint="eastAsia" w:ascii="仿宋_GB2312" w:hAnsi="仿宋_GB2312" w:eastAsia="仿宋_GB2312" w:cs="仿宋_GB2312"/>
          <w:snapToGrid w:val="0"/>
          <w:color w:val="000000"/>
          <w:kern w:val="0"/>
          <w:sz w:val="32"/>
          <w:szCs w:val="32"/>
          <w:lang w:val="en-US" w:eastAsia="zh-CN" w:bidi="ar-SA"/>
        </w:rPr>
        <w:t>的统计分析</w:t>
      </w:r>
      <w:r>
        <w:rPr>
          <w:rFonts w:hint="eastAsia" w:ascii="仿宋_GB2312" w:hAnsi="仿宋_GB2312" w:eastAsia="仿宋_GB2312" w:cs="仿宋_GB2312"/>
          <w:snapToGrid w:val="0"/>
          <w:color w:val="000000"/>
          <w:kern w:val="0"/>
          <w:sz w:val="32"/>
          <w:szCs w:val="32"/>
          <w:lang w:val="en-US" w:eastAsia="en-US" w:bidi="ar-SA"/>
        </w:rPr>
        <w:t>效益分析、资产维修与保养管理</w:t>
      </w:r>
      <w:r>
        <w:rPr>
          <w:rFonts w:hint="eastAsia" w:ascii="仿宋_GB2312" w:hAnsi="仿宋_GB2312" w:eastAsia="仿宋_GB2312" w:cs="仿宋_GB2312"/>
          <w:snapToGrid w:val="0"/>
          <w:color w:val="000000"/>
          <w:kern w:val="0"/>
          <w:sz w:val="32"/>
          <w:szCs w:val="32"/>
          <w:lang w:val="en-US" w:eastAsia="zh-CN" w:bidi="ar-SA"/>
        </w:rPr>
        <w:t>登记、</w:t>
      </w:r>
      <w:r>
        <w:rPr>
          <w:rFonts w:hint="eastAsia" w:ascii="仿宋_GB2312" w:hAnsi="仿宋_GB2312" w:eastAsia="仿宋_GB2312" w:cs="仿宋_GB2312"/>
          <w:snapToGrid w:val="0"/>
          <w:color w:val="000000"/>
          <w:kern w:val="0"/>
          <w:sz w:val="32"/>
          <w:szCs w:val="32"/>
          <w:lang w:val="en-US" w:eastAsia="en-US" w:bidi="ar-SA"/>
        </w:rPr>
        <w:t>资产增加减少及计提折旧</w:t>
      </w:r>
      <w:r>
        <w:rPr>
          <w:rFonts w:hint="eastAsia" w:ascii="仿宋_GB2312" w:hAnsi="仿宋_GB2312" w:eastAsia="仿宋_GB2312" w:cs="仿宋_GB2312"/>
          <w:snapToGrid w:val="0"/>
          <w:color w:val="000000"/>
          <w:kern w:val="0"/>
          <w:sz w:val="32"/>
          <w:szCs w:val="32"/>
          <w:lang w:val="en-US" w:eastAsia="zh-CN" w:bidi="ar-SA"/>
        </w:rPr>
        <w:t>的会计</w:t>
      </w:r>
      <w:r>
        <w:rPr>
          <w:rFonts w:hint="eastAsia" w:ascii="仿宋_GB2312" w:hAnsi="仿宋_GB2312" w:eastAsia="仿宋_GB2312" w:cs="仿宋_GB2312"/>
          <w:snapToGrid w:val="0"/>
          <w:color w:val="000000"/>
          <w:kern w:val="0"/>
          <w:sz w:val="32"/>
          <w:szCs w:val="32"/>
          <w:lang w:val="en-US" w:eastAsia="en-US" w:bidi="ar-SA"/>
        </w:rPr>
        <w:t>凭证推送</w:t>
      </w:r>
      <w:r>
        <w:rPr>
          <w:rFonts w:hint="eastAsia" w:ascii="仿宋_GB2312" w:hAnsi="仿宋_GB2312" w:eastAsia="仿宋_GB2312" w:cs="仿宋_GB2312"/>
          <w:snapToGrid w:val="0"/>
          <w:color w:val="000000"/>
          <w:kern w:val="0"/>
          <w:sz w:val="32"/>
          <w:szCs w:val="32"/>
          <w:lang w:val="en-US" w:eastAsia="zh-CN" w:bidi="ar-SA"/>
        </w:rPr>
        <w:t>等功能。</w:t>
      </w:r>
      <w:r>
        <w:rPr>
          <w:rFonts w:hint="eastAsia" w:ascii="仿宋_GB2312" w:hAnsi="仿宋_GB2312" w:eastAsia="仿宋_GB2312" w:cs="仿宋_GB2312"/>
          <w:snapToGrid w:val="0"/>
          <w:color w:val="000000"/>
          <w:kern w:val="0"/>
          <w:sz w:val="32"/>
          <w:szCs w:val="32"/>
          <w:lang w:val="en-US" w:eastAsia="en-US" w:bidi="ar-SA"/>
        </w:rPr>
        <w:t>通过建设该系统</w:t>
      </w:r>
      <w:r>
        <w:rPr>
          <w:rFonts w:hint="eastAsia" w:ascii="仿宋_GB2312" w:hAnsi="仿宋_GB2312" w:eastAsia="仿宋_GB2312" w:cs="仿宋_GB2312"/>
          <w:snapToGrid w:val="0"/>
          <w:color w:val="000000"/>
          <w:kern w:val="0"/>
          <w:sz w:val="32"/>
          <w:szCs w:val="32"/>
          <w:lang w:val="en-US" w:eastAsia="zh-CN" w:bidi="ar-SA"/>
        </w:rPr>
        <w:t>确保</w:t>
      </w:r>
      <w:r>
        <w:rPr>
          <w:rFonts w:hint="eastAsia" w:ascii="仿宋_GB2312" w:hAnsi="仿宋_GB2312" w:eastAsia="仿宋_GB2312" w:cs="仿宋_GB2312"/>
          <w:snapToGrid w:val="0"/>
          <w:color w:val="000000"/>
          <w:kern w:val="0"/>
          <w:sz w:val="32"/>
          <w:szCs w:val="32"/>
          <w:lang w:val="en-US" w:eastAsia="en-US" w:bidi="ar-SA"/>
        </w:rPr>
        <w:t>我院国有资产账账相符、账实相符</w:t>
      </w:r>
      <w:r>
        <w:rPr>
          <w:rFonts w:hint="eastAsia" w:ascii="仿宋_GB2312" w:hAnsi="仿宋_GB2312" w:eastAsia="仿宋_GB2312" w:cs="仿宋_GB2312"/>
          <w:snapToGrid w:val="0"/>
          <w:color w:val="000000"/>
          <w:kern w:val="0"/>
          <w:sz w:val="32"/>
          <w:szCs w:val="32"/>
          <w:lang w:val="en-US" w:eastAsia="zh-CN" w:bidi="ar-SA"/>
        </w:rPr>
        <w:t>，实现资产全生命周期管理</w:t>
      </w:r>
      <w:r>
        <w:rPr>
          <w:rFonts w:hint="eastAsia" w:ascii="仿宋_GB2312" w:hAnsi="仿宋_GB2312" w:eastAsia="仿宋_GB2312" w:cs="仿宋_GB2312"/>
          <w:snapToGrid w:val="0"/>
          <w:color w:val="000000"/>
          <w:kern w:val="0"/>
          <w:sz w:val="32"/>
          <w:szCs w:val="32"/>
          <w:lang w:val="en-US" w:eastAsia="en-US" w:bidi="ar-SA"/>
        </w:rPr>
        <w:t>，</w:t>
      </w:r>
      <w:r>
        <w:rPr>
          <w:rFonts w:hint="eastAsia" w:ascii="仿宋_GB2312" w:hAnsi="仿宋_GB2312" w:eastAsia="仿宋_GB2312" w:cs="仿宋_GB2312"/>
          <w:snapToGrid w:val="0"/>
          <w:color w:val="000000"/>
          <w:kern w:val="0"/>
          <w:sz w:val="32"/>
          <w:szCs w:val="32"/>
          <w:lang w:val="en-US" w:eastAsia="zh-CN" w:bidi="ar-SA"/>
        </w:rPr>
        <w:t>临床业务、绩效管理、资产管理、合同管理互联互通。</w:t>
      </w:r>
    </w:p>
    <w:p w14:paraId="68BFC1B8">
      <w:pPr>
        <w:keepNext w:val="0"/>
        <w:keepLines w:val="0"/>
        <w:pageBreakBefore w:val="0"/>
        <w:wordWrap/>
        <w:overflowPunct/>
        <w:topLinePunct w:val="0"/>
        <w:bidi w:val="0"/>
        <w:spacing w:line="560" w:lineRule="exact"/>
        <w:rPr>
          <w:rFonts w:hint="eastAsia" w:ascii="仿宋_GB2312" w:hAnsi="仿宋_GB2312" w:eastAsia="仿宋_GB2312" w:cs="仿宋_GB2312"/>
          <w:color w:val="auto"/>
          <w:sz w:val="32"/>
          <w:szCs w:val="32"/>
        </w:rPr>
      </w:pPr>
    </w:p>
    <w:sectPr>
      <w:headerReference r:id="rId5" w:type="default"/>
      <w:footerReference r:id="rId6" w:type="default"/>
      <w:pgSz w:w="12410" w:h="17190"/>
      <w:pgMar w:top="2098" w:right="1474" w:bottom="1984" w:left="1587" w:header="0" w:footer="1203"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166CA">
    <w:pPr>
      <w:spacing w:line="173" w:lineRule="auto"/>
      <w:ind w:left="0"/>
      <w:rPr>
        <w:rFonts w:ascii="宋体" w:hAnsi="宋体" w:eastAsia="宋体" w:cs="宋体"/>
        <w:sz w:val="23"/>
        <w:szCs w:val="23"/>
      </w:rPr>
    </w:pPr>
    <w:r>
      <w:rPr>
        <w:sz w:val="23"/>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31457">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831457">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4D5D9">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zNDExZGNlYTkwOGUwYzc0ZmIwOTI5NGYyOGEwYjgifQ=="/>
  </w:docVars>
  <w:rsids>
    <w:rsidRoot w:val="00000000"/>
    <w:rsid w:val="03EA356B"/>
    <w:rsid w:val="1E540F69"/>
    <w:rsid w:val="327C3AF7"/>
    <w:rsid w:val="32892EB1"/>
    <w:rsid w:val="43AF64F0"/>
    <w:rsid w:val="5AB84FAC"/>
    <w:rsid w:val="6C0703C8"/>
    <w:rsid w:val="78021DDB"/>
    <w:rsid w:val="7B664809"/>
    <w:rsid w:val="7B9A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3614</Words>
  <Characters>3674</Characters>
  <Lines>0</Lines>
  <Paragraphs>0</Paragraphs>
  <TotalTime>384</TotalTime>
  <ScaleCrop>false</ScaleCrop>
  <LinksUpToDate>false</LinksUpToDate>
  <CharactersWithSpaces>3676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2024-07-11T02:27:00Z</dcterms:created>
  <dc:creator>Administrator</dc:creator>
  <cp:lastModifiedBy>林睿明</cp:lastModifiedBy>
  <dcterms:modified xsi:type="dcterms:W3CDTF">2024-07-17T04:52:20Z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209FC57F32364DCCB3A35B39AFB45FDE_13</vt:lpwstr>
  </property>
</Properties>
</file>