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A0CC0">
      <w:pPr>
        <w:jc w:val="center"/>
        <w:rPr>
          <w:rFonts w:hint="default" w:ascii="Times New Roman" w:hAnsi="Times New Roman" w:eastAsia="宋体" w:cs="Times New Roman"/>
          <w:b/>
          <w:bCs/>
          <w:sz w:val="40"/>
          <w:szCs w:val="44"/>
        </w:rPr>
      </w:pPr>
      <w:bookmarkStart w:id="0" w:name="_GoBack"/>
      <w:r>
        <w:rPr>
          <w:rFonts w:hint="default" w:ascii="Times New Roman" w:hAnsi="Times New Roman" w:eastAsia="宋体" w:cs="Times New Roman"/>
          <w:b/>
          <w:bCs/>
          <w:sz w:val="40"/>
          <w:szCs w:val="44"/>
          <w:lang w:val="en-US" w:eastAsia="zh-CN"/>
        </w:rPr>
        <w:t>中山大学附属第一医院广西医院台式工作站（科研计算工作站）</w:t>
      </w:r>
      <w:r>
        <w:rPr>
          <w:rFonts w:hint="default" w:ascii="Times New Roman" w:hAnsi="Times New Roman" w:eastAsia="宋体" w:cs="Times New Roman"/>
          <w:b/>
          <w:bCs/>
          <w:sz w:val="40"/>
          <w:szCs w:val="44"/>
        </w:rPr>
        <w:t>技术参数</w:t>
      </w:r>
    </w:p>
    <w:bookmarkEnd w:id="0"/>
    <w:p w14:paraId="52D2177C">
      <w:pPr>
        <w:numPr>
          <w:ilvl w:val="0"/>
          <w:numId w:val="1"/>
        </w:num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基本参数</w:t>
      </w:r>
    </w:p>
    <w:p w14:paraId="4413DD6F">
      <w:pPr>
        <w:numPr>
          <w:ilvl w:val="0"/>
          <w:numId w:val="0"/>
        </w:numPr>
        <w:rPr>
          <w:rFonts w:hint="default" w:ascii="Times New Roman" w:hAnsi="Times New Roman" w:eastAsia="宋体" w:cs="Times New Roman"/>
          <w:sz w:val="28"/>
          <w:szCs w:val="32"/>
          <w:lang w:eastAsia="zh-CN"/>
        </w:rPr>
      </w:pPr>
      <w:r>
        <w:rPr>
          <w:rFonts w:hint="default" w:ascii="Times New Roman" w:hAnsi="Times New Roman" w:eastAsia="宋体" w:cs="Times New Roman"/>
          <w:sz w:val="28"/>
          <w:szCs w:val="32"/>
        </w:rPr>
        <w:t>标注“▲”参数均为实质性条款，响应时必须满足，否则视为无效响应</w:t>
      </w:r>
      <w:r>
        <w:rPr>
          <w:rFonts w:hint="default" w:ascii="Times New Roman" w:hAnsi="Times New Roman" w:eastAsia="宋体" w:cs="Times New Roman"/>
          <w:sz w:val="28"/>
          <w:szCs w:val="32"/>
          <w:lang w:eastAsia="zh-CN"/>
        </w:rPr>
        <w:t>。</w:t>
      </w:r>
    </w:p>
    <w:p w14:paraId="22967420">
      <w:pPr>
        <w:rPr>
          <w:rFonts w:hint="default" w:ascii="Times New Roman" w:hAnsi="Times New Roman" w:eastAsia="宋体" w:cs="Times New Roman"/>
          <w:b/>
          <w:bCs/>
          <w:sz w:val="28"/>
          <w:szCs w:val="32"/>
        </w:rPr>
      </w:pPr>
      <w:r>
        <w:rPr>
          <w:rFonts w:hint="default" w:ascii="Times New Roman" w:hAnsi="Times New Roman" w:eastAsia="宋体" w:cs="Times New Roman"/>
          <w:b/>
          <w:bCs/>
          <w:sz w:val="28"/>
          <w:szCs w:val="32"/>
        </w:rPr>
        <w:t>品牌要求：要求一线主流品牌，非OME或组装机产品</w:t>
      </w:r>
    </w:p>
    <w:p w14:paraId="331084B5">
      <w:pPr>
        <w:rPr>
          <w:rFonts w:hint="default" w:ascii="Times New Roman" w:hAnsi="Times New Roman" w:eastAsia="宋体" w:cs="Times New Roman"/>
          <w:sz w:val="28"/>
          <w:szCs w:val="32"/>
        </w:rPr>
      </w:pPr>
      <w:r>
        <w:rPr>
          <w:rFonts w:hint="default" w:ascii="Times New Roman" w:hAnsi="Times New Roman" w:eastAsia="宋体" w:cs="Times New Roman"/>
          <w:color w:val="000000" w:themeColor="text1"/>
          <w:kern w:val="0"/>
          <w:sz w:val="28"/>
          <w:szCs w:val="24"/>
          <w:lang w:eastAsia="zh-CN"/>
          <w14:textFill>
            <w14:solidFill>
              <w14:schemeClr w14:val="tx1"/>
            </w14:solidFill>
          </w14:textFill>
        </w:rPr>
        <w:t>▲</w:t>
      </w:r>
      <w:r>
        <w:rPr>
          <w:rFonts w:hint="default" w:ascii="Times New Roman" w:hAnsi="Times New Roman" w:eastAsia="宋体" w:cs="Times New Roman"/>
          <w:sz w:val="28"/>
          <w:szCs w:val="32"/>
        </w:rPr>
        <w:t>1 CPU：不低于AMD® Ryzen™ Threadripper™ Pro 7995WX，96 核心，192 线程，2.50 GHz 至 5.1 GHz，350 W</w:t>
      </w:r>
    </w:p>
    <w:p w14:paraId="05638731">
      <w:pPr>
        <w:rPr>
          <w:rFonts w:hint="default" w:ascii="Times New Roman" w:hAnsi="Times New Roman" w:eastAsia="宋体" w:cs="Times New Roman"/>
          <w:sz w:val="28"/>
          <w:szCs w:val="32"/>
        </w:rPr>
      </w:pPr>
      <w:r>
        <w:rPr>
          <w:rFonts w:hint="default" w:ascii="Times New Roman" w:hAnsi="Times New Roman" w:eastAsia="宋体" w:cs="Times New Roman"/>
          <w:color w:val="000000" w:themeColor="text1"/>
          <w:kern w:val="0"/>
          <w:sz w:val="28"/>
          <w:szCs w:val="24"/>
          <w:lang w:eastAsia="zh-CN"/>
          <w14:textFill>
            <w14:solidFill>
              <w14:schemeClr w14:val="tx1"/>
            </w14:solidFill>
          </w14:textFill>
        </w:rPr>
        <w:t>▲</w:t>
      </w:r>
      <w:r>
        <w:rPr>
          <w:rFonts w:hint="default" w:ascii="Times New Roman" w:hAnsi="Times New Roman" w:eastAsia="宋体" w:cs="Times New Roman"/>
          <w:sz w:val="28"/>
          <w:szCs w:val="32"/>
        </w:rPr>
        <w:t>2 内存：不低于1024GB：8 个 128 GB，DDR5，4800 MT/s，ECC 1   8 个 DIMM 插槽：每个插槽高达 256 GB 最大速度：4800 MT/s，支持 ECC；以及 5200 MT/s，支持 ECC 且支持 5600 模块 最大容量：2 TB</w:t>
      </w:r>
    </w:p>
    <w:p w14:paraId="4CE0742E">
      <w:pPr>
        <w:rPr>
          <w:rFonts w:hint="default" w:ascii="Times New Roman" w:hAnsi="Times New Roman" w:eastAsia="宋体" w:cs="Times New Roman"/>
          <w:sz w:val="28"/>
          <w:szCs w:val="32"/>
        </w:rPr>
      </w:pPr>
      <w:r>
        <w:rPr>
          <w:rFonts w:hint="default" w:ascii="Times New Roman" w:hAnsi="Times New Roman" w:eastAsia="宋体" w:cs="Times New Roman"/>
          <w:color w:val="000000" w:themeColor="text1"/>
          <w:kern w:val="0"/>
          <w:sz w:val="28"/>
          <w:szCs w:val="24"/>
          <w:lang w:eastAsia="zh-CN"/>
          <w14:textFill>
            <w14:solidFill>
              <w14:schemeClr w14:val="tx1"/>
            </w14:solidFill>
          </w14:textFill>
        </w:rPr>
        <w:t>▲</w:t>
      </w:r>
      <w:r>
        <w:rPr>
          <w:rFonts w:hint="default" w:ascii="Times New Roman" w:hAnsi="Times New Roman" w:eastAsia="宋体" w:cs="Times New Roman"/>
          <w:sz w:val="28"/>
          <w:szCs w:val="32"/>
        </w:rPr>
        <w:t>3 显卡：不低于NVIDIA® RTX™6000系列2块，48 GB GDDR6</w:t>
      </w:r>
    </w:p>
    <w:p w14:paraId="0579DE01">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4  硬盘：不低于M.2 2280，2 TB*2，PCIe NVMe Gen4 x4，7200 RPM，3.5 英寸，SATA，HDD  2 个适用于 3.5 英寸/2.5 英寸硬盘的 SATA 3.0 插槽 2 个适用外接存储 FlexBay 的 SATA 3.0 插槽 适用于光驱的 SATA 3.0 插槽 2 个用于 PCIe NVMe Gen4 固态硬盘的 M.2 2230/2280 插槽 2 个用于外接 PCIe NVMe Gen4 存储 FlexBay 的 M.2 2230/2280 插槽 SD 卡插槽（可选）</w:t>
      </w:r>
    </w:p>
    <w:p w14:paraId="191E0019">
      <w:pPr>
        <w:rPr>
          <w:rFonts w:hint="default" w:ascii="Times New Roman" w:hAnsi="Times New Roman" w:eastAsia="宋体" w:cs="Times New Roman"/>
          <w:sz w:val="28"/>
          <w:szCs w:val="32"/>
        </w:rPr>
      </w:pPr>
      <w:r>
        <w:rPr>
          <w:rFonts w:hint="default" w:ascii="Times New Roman" w:hAnsi="Times New Roman" w:eastAsia="宋体" w:cs="Times New Roman"/>
          <w:color w:val="000000" w:themeColor="text1"/>
          <w:kern w:val="0"/>
          <w:sz w:val="28"/>
          <w:szCs w:val="24"/>
          <w:lang w:eastAsia="zh-CN"/>
          <w14:textFill>
            <w14:solidFill>
              <w14:schemeClr w14:val="tx1"/>
            </w14:solidFill>
          </w14:textFill>
        </w:rPr>
        <w:t>▲</w:t>
      </w:r>
      <w:r>
        <w:rPr>
          <w:rFonts w:hint="default" w:ascii="Times New Roman" w:hAnsi="Times New Roman" w:eastAsia="宋体" w:cs="Times New Roman"/>
          <w:sz w:val="28"/>
          <w:szCs w:val="32"/>
        </w:rPr>
        <w:t>5 接口：正面： 2 个 USB 3.2 Gen1 端口 USB 3.2 Gen2 Type-C 端口，支持 PowerShare USB 3.2 Gen2 Type-C 端口 耳机（耳机和麦克风组合）端口 背面： 3 个 USB 3.2 Gen2 Type-C 端口 2 个 USB 3.2 Gen1 端口 USB 3.2 Gen1 端口，支持智能开机 RJ45 以太网端口，1 GbE RJ45 以太网端口，10 GbE 线路输出端口 串行端口（可选） 2 个 PS2 端口（可选） 扩展： 1 个全高 Gen5 PCIe x16 插槽 全高 Gen4 PCIe x16 插槽 2 个全高 Gen4 PCIe x8 插槽 全高 Gen5 PCIe x8 插槽 全高 Gen4 PCIe x8 插槽（电气通道 x4）16 倍速 DVD+/-RW 半高光驱</w:t>
      </w:r>
    </w:p>
    <w:p w14:paraId="21C137A6">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Qualcomm WCN6856-DBS，2x2 MIMO，3571 Mbps，2.4 GHz/5 GHz/6 GHz，Wi-Fi 6E (Wi-Fi 802.11ax)，蓝牙 5.3 无线网卡</w:t>
      </w:r>
    </w:p>
    <w:p w14:paraId="5CCC4D6A">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6机箱：高：</w:t>
      </w:r>
      <w:r>
        <w:rPr>
          <w:rFonts w:hint="eastAsia" w:ascii="Times New Roman" w:hAnsi="Times New Roman" w:eastAsia="宋体" w:cs="Times New Roman"/>
          <w:sz w:val="28"/>
          <w:szCs w:val="32"/>
          <w:lang w:val="en-US" w:eastAsia="zh-CN"/>
        </w:rPr>
        <w:t>约</w:t>
      </w:r>
      <w:r>
        <w:rPr>
          <w:rFonts w:hint="default" w:ascii="Times New Roman" w:hAnsi="Times New Roman" w:eastAsia="宋体" w:cs="Times New Roman"/>
          <w:sz w:val="28"/>
          <w:szCs w:val="32"/>
        </w:rPr>
        <w:t>442.70 毫米（17.42 英寸）/446.60 毫米（17.58 英寸），具有凸起的橡胶支脚 宽：</w:t>
      </w:r>
      <w:r>
        <w:rPr>
          <w:rFonts w:hint="eastAsia" w:ascii="Times New Roman" w:hAnsi="Times New Roman" w:eastAsia="宋体" w:cs="Times New Roman"/>
          <w:sz w:val="28"/>
          <w:szCs w:val="32"/>
          <w:lang w:val="en-US" w:eastAsia="zh-CN"/>
        </w:rPr>
        <w:t>约</w:t>
      </w:r>
      <w:r>
        <w:rPr>
          <w:rFonts w:hint="default" w:ascii="Times New Roman" w:hAnsi="Times New Roman" w:eastAsia="宋体" w:cs="Times New Roman"/>
          <w:sz w:val="28"/>
          <w:szCs w:val="32"/>
        </w:rPr>
        <w:t>172.60 毫米（6.79 英寸）/176.50 毫米（6.94 英寸），具有凸起的橡胶支脚 深：</w:t>
      </w:r>
      <w:r>
        <w:rPr>
          <w:rFonts w:hint="eastAsia" w:ascii="Times New Roman" w:hAnsi="Times New Roman" w:eastAsia="宋体" w:cs="Times New Roman"/>
          <w:sz w:val="28"/>
          <w:szCs w:val="32"/>
          <w:lang w:val="en-US" w:eastAsia="zh-CN"/>
        </w:rPr>
        <w:t>约</w:t>
      </w:r>
      <w:r>
        <w:rPr>
          <w:rFonts w:hint="default" w:ascii="Times New Roman" w:hAnsi="Times New Roman" w:eastAsia="宋体" w:cs="Times New Roman"/>
          <w:sz w:val="28"/>
          <w:szCs w:val="32"/>
        </w:rPr>
        <w:t>465.00 毫米（18.30 英寸）/487.50 毫米（19.19 英寸），具有凸起的橡胶支脚 重量：最大值：</w:t>
      </w:r>
      <w:r>
        <w:rPr>
          <w:rFonts w:hint="eastAsia" w:ascii="Times New Roman" w:hAnsi="Times New Roman" w:eastAsia="宋体" w:cs="Times New Roman"/>
          <w:sz w:val="28"/>
          <w:szCs w:val="32"/>
          <w:lang w:val="en-US" w:eastAsia="zh-CN"/>
        </w:rPr>
        <w:t>约</w:t>
      </w:r>
      <w:r>
        <w:rPr>
          <w:rFonts w:hint="default" w:ascii="Times New Roman" w:hAnsi="Times New Roman" w:eastAsia="宋体" w:cs="Times New Roman"/>
          <w:sz w:val="28"/>
          <w:szCs w:val="32"/>
        </w:rPr>
        <w:t>25.57 千克（56.34 磅）最小值：</w:t>
      </w:r>
      <w:r>
        <w:rPr>
          <w:rFonts w:hint="eastAsia" w:ascii="Times New Roman" w:hAnsi="Times New Roman" w:eastAsia="宋体" w:cs="Times New Roman"/>
          <w:sz w:val="28"/>
          <w:szCs w:val="32"/>
          <w:lang w:val="en-US" w:eastAsia="zh-CN"/>
        </w:rPr>
        <w:t>约</w:t>
      </w:r>
      <w:r>
        <w:rPr>
          <w:rFonts w:hint="default" w:ascii="Times New Roman" w:hAnsi="Times New Roman" w:eastAsia="宋体" w:cs="Times New Roman"/>
          <w:sz w:val="28"/>
          <w:szCs w:val="32"/>
        </w:rPr>
        <w:t>18.34 千克（40.39 磅）</w:t>
      </w:r>
    </w:p>
    <w:p w14:paraId="06B156F2">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7电源：不低于1350W 节能电源</w:t>
      </w:r>
    </w:p>
    <w:p w14:paraId="42B41637">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8考虑到机器的安全性，机器要带安全管理软件。</w:t>
      </w:r>
    </w:p>
    <w:p w14:paraId="3B57CD98">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1）服务端支持CentOS 7.6/ RedHat7或以上版本操作系统。客户端支持多类型操作系统，包括但不限于 Windows XP_SP3/Windows Vista ultimate/Windows 7/Windows 8/Windows 10操作系统、Windows Server 2003_R2/2008_R2/2012/2016/2019操作系统、Red Hat Linux 5.4/5.6/6.8  /CentOS 7.6/ Ubuntu 24.04及以上版本操作系统。</w:t>
      </w:r>
    </w:p>
    <w:p w14:paraId="573CCA29">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（2）支持终端用户查看客户端系统当前CPU和内存的实时性能，同时可查看客户端程序的CPU和内存占用率。（</w:t>
      </w:r>
      <w:r>
        <w:rPr>
          <w:rFonts w:hint="eastAsia" w:ascii="Times New Roman" w:hAnsi="Times New Roman" w:eastAsia="宋体" w:cs="Times New Roman"/>
          <w:sz w:val="28"/>
          <w:szCs w:val="32"/>
          <w:lang w:val="en-US" w:eastAsia="zh-CN"/>
        </w:rPr>
        <w:t>现场响应时</w:t>
      </w:r>
      <w:r>
        <w:rPr>
          <w:rFonts w:hint="default" w:ascii="Times New Roman" w:hAnsi="Times New Roman" w:eastAsia="宋体" w:cs="Times New Roman"/>
          <w:sz w:val="28"/>
          <w:szCs w:val="32"/>
        </w:rPr>
        <w:t>提供产品界面截图）</w:t>
      </w:r>
    </w:p>
    <w:p w14:paraId="01A48245">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（3）提供多引擎查杀矩阵，包括云查杀引擎、大数据特征引擎、自学习智能引擎以及脚本引擎，客户端支持以图形化方式展示各个引擎的信息。（</w:t>
      </w:r>
      <w:r>
        <w:rPr>
          <w:rFonts w:hint="eastAsia" w:ascii="Times New Roman" w:hAnsi="Times New Roman" w:eastAsia="宋体" w:cs="Times New Roman"/>
          <w:sz w:val="28"/>
          <w:szCs w:val="32"/>
          <w:lang w:val="en-US" w:eastAsia="zh-CN"/>
        </w:rPr>
        <w:t>现场响应时</w:t>
      </w:r>
      <w:r>
        <w:rPr>
          <w:rFonts w:hint="default" w:ascii="Times New Roman" w:hAnsi="Times New Roman" w:eastAsia="宋体" w:cs="Times New Roman"/>
          <w:sz w:val="28"/>
          <w:szCs w:val="32"/>
        </w:rPr>
        <w:t>提供产品界面截图）</w:t>
      </w:r>
    </w:p>
    <w:p w14:paraId="1A6183A7">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4）提供多维度防护体系，包含浏览器防护、系统防护、入口防护和上网防护4大类。其中浏览器防护包含网页安全防护、网购安全防护、搜索安全防护、邮件安全防护、锁定浏览器（如IE、Edge、360浏览器）；系统防护包含网络安全防护、摄像头防护、文件系统防护、驱动防护、进程防护、注册表防护、系统安全防护、核晶防护、键盘记录防护，其中核晶防护可利用CPU的硬件虚拟化机制，增强64位系统的安全防护；入口防护包含聊天安全防护、下载安全防护、U盘安全防护、黑客入侵防护、局域网防护，其中黑客入侵防护能自动阻止高风险的远程登录行为；上网防护包含反勒索防护。</w:t>
      </w:r>
    </w:p>
    <w:p w14:paraId="7BD3290B">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（5）服务端不联网的情况下，可通过离线工具把漏洞库（补丁库）、补丁文件上传到服务端。（</w:t>
      </w:r>
      <w:r>
        <w:rPr>
          <w:rFonts w:hint="eastAsia" w:ascii="Times New Roman" w:hAnsi="Times New Roman" w:eastAsia="宋体" w:cs="Times New Roman"/>
          <w:sz w:val="28"/>
          <w:szCs w:val="32"/>
          <w:lang w:val="en-US" w:eastAsia="zh-CN"/>
        </w:rPr>
        <w:t>现场响应时</w:t>
      </w:r>
      <w:r>
        <w:rPr>
          <w:rFonts w:hint="default" w:ascii="Times New Roman" w:hAnsi="Times New Roman" w:eastAsia="宋体" w:cs="Times New Roman"/>
          <w:sz w:val="28"/>
          <w:szCs w:val="32"/>
        </w:rPr>
        <w:t>提供产品界面截图）</w:t>
      </w:r>
    </w:p>
    <w:p w14:paraId="1AA45BBF">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（6）管理员可以查看服务端已存在的补丁文件及总大小。（</w:t>
      </w:r>
      <w:r>
        <w:rPr>
          <w:rFonts w:hint="eastAsia" w:ascii="Times New Roman" w:hAnsi="Times New Roman" w:eastAsia="宋体" w:cs="Times New Roman"/>
          <w:sz w:val="28"/>
          <w:szCs w:val="32"/>
          <w:lang w:val="en-US" w:eastAsia="zh-CN"/>
        </w:rPr>
        <w:t>现场响应时</w:t>
      </w:r>
      <w:r>
        <w:rPr>
          <w:rFonts w:hint="default" w:ascii="Times New Roman" w:hAnsi="Times New Roman" w:eastAsia="宋体" w:cs="Times New Roman"/>
          <w:sz w:val="28"/>
          <w:szCs w:val="32"/>
        </w:rPr>
        <w:t>提供产品界面截图）</w:t>
      </w:r>
    </w:p>
    <w:p w14:paraId="50CA2C3E">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服务端支持查看病毒扫描的触发方式，通过触发方式可以确定扫描行为是管理员触发、终端本地用户触发、定时扫描触发或者是实时监控触发。</w:t>
      </w:r>
    </w:p>
    <w:p w14:paraId="68D03705">
      <w:pPr>
        <w:rPr>
          <w:rFonts w:hint="default" w:ascii="Times New Roman" w:hAnsi="Times New Roman" w:eastAsia="宋体" w:cs="Times New Roman"/>
          <w:sz w:val="28"/>
          <w:szCs w:val="32"/>
        </w:rPr>
      </w:pPr>
      <w:r>
        <w:rPr>
          <w:rFonts w:hint="default" w:ascii="Times New Roman" w:hAnsi="Times New Roman" w:eastAsia="宋体" w:cs="Times New Roman"/>
          <w:sz w:val="28"/>
          <w:szCs w:val="32"/>
        </w:rPr>
        <w:t>二、商务资质认证要求：提供产品的3C认证</w:t>
      </w:r>
    </w:p>
    <w:p w14:paraId="5BF6DFFD">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三、质保：原厂3年整机保修，包括键盘、鼠标、显示器等周边设备；原厂3年下一工作日上门服务，每周7天24小时热线支持服务；以400电话、800电话或官方网站查询得到的保修年限数据为准。</w:t>
      </w:r>
    </w:p>
    <w:p w14:paraId="43C86E7B">
      <w:pPr>
        <w:rPr>
          <w:rFonts w:hint="default" w:ascii="Times New Roman" w:hAnsi="Times New Roman" w:eastAsia="宋体" w:cs="Times New Roman"/>
          <w:sz w:val="28"/>
          <w:szCs w:val="32"/>
        </w:rPr>
      </w:pPr>
      <w:r>
        <w:rPr>
          <w:rFonts w:hint="default" w:ascii="Times New Roman" w:hAnsi="Times New Roman" w:eastAsia="宋体" w:cs="Times New Roman"/>
          <w:sz w:val="28"/>
          <w:szCs w:val="32"/>
          <w:lang w:eastAsia="zh-CN"/>
        </w:rPr>
        <w:t>▲</w:t>
      </w:r>
      <w:r>
        <w:rPr>
          <w:rFonts w:hint="default" w:ascii="Times New Roman" w:hAnsi="Times New Roman" w:eastAsia="宋体" w:cs="Times New Roman"/>
          <w:sz w:val="28"/>
          <w:szCs w:val="32"/>
        </w:rPr>
        <w:t>四、货物证明：</w:t>
      </w:r>
      <w:r>
        <w:rPr>
          <w:rFonts w:hint="eastAsia" w:ascii="Times New Roman" w:hAnsi="Times New Roman" w:eastAsia="宋体" w:cs="Times New Roman"/>
          <w:sz w:val="28"/>
          <w:szCs w:val="32"/>
          <w:lang w:val="en-US" w:eastAsia="zh-CN"/>
        </w:rPr>
        <w:t>成交方</w:t>
      </w:r>
      <w:r>
        <w:rPr>
          <w:rFonts w:hint="default" w:ascii="Times New Roman" w:hAnsi="Times New Roman" w:eastAsia="宋体" w:cs="Times New Roman"/>
          <w:sz w:val="28"/>
          <w:szCs w:val="32"/>
        </w:rPr>
        <w:t>在签订合同前，必须给</w:t>
      </w:r>
      <w:r>
        <w:rPr>
          <w:rFonts w:hint="eastAsia" w:ascii="Times New Roman" w:hAnsi="Times New Roman" w:eastAsia="宋体" w:cs="Times New Roman"/>
          <w:sz w:val="28"/>
          <w:szCs w:val="32"/>
          <w:lang w:val="en-US" w:eastAsia="zh-CN"/>
        </w:rPr>
        <w:t>院方</w:t>
      </w:r>
      <w:r>
        <w:rPr>
          <w:rFonts w:hint="default" w:ascii="Times New Roman" w:hAnsi="Times New Roman" w:eastAsia="宋体" w:cs="Times New Roman"/>
          <w:sz w:val="28"/>
          <w:szCs w:val="32"/>
        </w:rPr>
        <w:t>提供样品检查是否满足</w:t>
      </w:r>
      <w:r>
        <w:rPr>
          <w:rFonts w:hint="eastAsia" w:ascii="Times New Roman" w:hAnsi="Times New Roman" w:eastAsia="宋体" w:cs="Times New Roman"/>
          <w:sz w:val="28"/>
          <w:szCs w:val="32"/>
          <w:lang w:val="en-US" w:eastAsia="zh-CN"/>
        </w:rPr>
        <w:t>采购</w:t>
      </w:r>
      <w:r>
        <w:rPr>
          <w:rFonts w:hint="default" w:ascii="Times New Roman" w:hAnsi="Times New Roman" w:eastAsia="宋体" w:cs="Times New Roman"/>
          <w:sz w:val="28"/>
          <w:szCs w:val="32"/>
        </w:rPr>
        <w:t>要求，如不能满足以上参数的，</w:t>
      </w:r>
      <w:r>
        <w:rPr>
          <w:rFonts w:hint="eastAsia" w:ascii="Times New Roman" w:hAnsi="Times New Roman" w:eastAsia="宋体" w:cs="Times New Roman"/>
          <w:sz w:val="28"/>
          <w:szCs w:val="32"/>
          <w:lang w:val="en-US" w:eastAsia="zh-CN"/>
        </w:rPr>
        <w:t>院方</w:t>
      </w:r>
      <w:r>
        <w:rPr>
          <w:rFonts w:hint="default" w:ascii="Times New Roman" w:hAnsi="Times New Roman" w:eastAsia="宋体" w:cs="Times New Roman"/>
          <w:sz w:val="28"/>
          <w:szCs w:val="32"/>
        </w:rPr>
        <w:t>有权不签署合同，并要求</w:t>
      </w:r>
      <w:r>
        <w:rPr>
          <w:rFonts w:hint="eastAsia" w:ascii="Times New Roman" w:hAnsi="Times New Roman" w:eastAsia="宋体" w:cs="Times New Roman"/>
          <w:sz w:val="28"/>
          <w:szCs w:val="32"/>
          <w:lang w:val="en-US" w:eastAsia="zh-CN"/>
        </w:rPr>
        <w:t>成交方</w:t>
      </w:r>
      <w:r>
        <w:rPr>
          <w:rFonts w:hint="default" w:ascii="Times New Roman" w:hAnsi="Times New Roman" w:eastAsia="宋体" w:cs="Times New Roman"/>
          <w:sz w:val="28"/>
          <w:szCs w:val="32"/>
        </w:rPr>
        <w:t>赔偿损失；供货时，须提供由生产厂家针对本项目的有效供货证明及售后服务承诺书原件并加盖厂家公章。</w:t>
      </w:r>
    </w:p>
    <w:p w14:paraId="757B5D00">
      <w:pPr>
        <w:rPr>
          <w:rFonts w:hint="default" w:ascii="Times New Roman" w:hAnsi="Times New Roman" w:eastAsia="宋体" w:cs="Times New Roman"/>
          <w:sz w:val="28"/>
          <w:szCs w:val="32"/>
        </w:rPr>
      </w:pPr>
    </w:p>
    <w:p w14:paraId="1ACBC728">
      <w:pPr>
        <w:rPr>
          <w:rFonts w:hint="default" w:ascii="Times New Roman" w:hAnsi="Times New Roman" w:eastAsia="宋体" w:cs="Times New Roman"/>
          <w:sz w:val="28"/>
          <w:szCs w:val="32"/>
        </w:rPr>
      </w:pPr>
    </w:p>
    <w:sectPr>
      <w:pgSz w:w="11906" w:h="16838"/>
      <w:pgMar w:top="110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BFFD4"/>
    <w:multiLevelType w:val="singleLevel"/>
    <w:tmpl w:val="1AFBFF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34"/>
    <w:rsid w:val="001630D5"/>
    <w:rsid w:val="002969B4"/>
    <w:rsid w:val="00592258"/>
    <w:rsid w:val="005A4289"/>
    <w:rsid w:val="005E67ED"/>
    <w:rsid w:val="006E1C48"/>
    <w:rsid w:val="00747A6E"/>
    <w:rsid w:val="007E6C98"/>
    <w:rsid w:val="00815BDC"/>
    <w:rsid w:val="00910834"/>
    <w:rsid w:val="00986BED"/>
    <w:rsid w:val="009F7E88"/>
    <w:rsid w:val="00C479E4"/>
    <w:rsid w:val="00E76AD0"/>
    <w:rsid w:val="07350087"/>
    <w:rsid w:val="07640E8F"/>
    <w:rsid w:val="083614F0"/>
    <w:rsid w:val="13682D04"/>
    <w:rsid w:val="3D8253C0"/>
    <w:rsid w:val="3DF022AF"/>
    <w:rsid w:val="510E29EB"/>
    <w:rsid w:val="51F47385"/>
    <w:rsid w:val="52815E39"/>
    <w:rsid w:val="57EE28CF"/>
    <w:rsid w:val="6654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8"/>
    <w:unhideWhenUsed/>
    <w:qFormat/>
    <w:uiPriority w:val="99"/>
    <w:pPr>
      <w:tabs>
        <w:tab w:val="center" w:pos="4153"/>
        <w:tab w:val="right" w:pos="8306"/>
      </w:tabs>
      <w:snapToGrid w:val="0"/>
      <w:spacing w:line="240" w:lineRule="auto"/>
      <w:jc w:val="center"/>
    </w:pPr>
    <w:rPr>
      <w:sz w:val="18"/>
      <w:szCs w:val="18"/>
    </w:rPr>
  </w:style>
  <w:style w:type="paragraph" w:styleId="4">
    <w:name w:val="Title"/>
    <w:basedOn w:val="1"/>
    <w:link w:val="7"/>
    <w:qFormat/>
    <w:uiPriority w:val="0"/>
    <w:pPr>
      <w:spacing w:before="240" w:after="60" w:line="240" w:lineRule="auto"/>
      <w:jc w:val="center"/>
      <w:outlineLvl w:val="0"/>
    </w:pPr>
    <w:rPr>
      <w:rFonts w:ascii="Arial" w:hAnsi="Arial" w:eastAsia="宋体" w:cs="Times New Roman"/>
      <w:b/>
      <w:sz w:val="32"/>
      <w14:ligatures w14:val="none"/>
    </w:rPr>
  </w:style>
  <w:style w:type="character" w:customStyle="1" w:styleId="7">
    <w:name w:val="标题 字符"/>
    <w:basedOn w:val="6"/>
    <w:link w:val="4"/>
    <w:qFormat/>
    <w:uiPriority w:val="0"/>
    <w:rPr>
      <w:rFonts w:ascii="Arial" w:hAnsi="Arial" w:eastAsia="宋体" w:cs="Times New Roman"/>
      <w:b/>
      <w:sz w:val="32"/>
      <w14:ligatures w14: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1539</Words>
  <Characters>2179</Characters>
  <Lines>16</Lines>
  <Paragraphs>4</Paragraphs>
  <TotalTime>17</TotalTime>
  <ScaleCrop>false</ScaleCrop>
  <LinksUpToDate>false</LinksUpToDate>
  <CharactersWithSpaces>2402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2024-12-25T08:13:00Z</dcterms:created>
  <dc:creator>曦 晨</dc:creator>
  <cp:lastModifiedBy>秋秋</cp:lastModifiedBy>
  <dcterms:modified xsi:type="dcterms:W3CDTF">2024-12-27T09:08:04Z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42BC0F7D762C432493A57A130CC1234C_13</vt:lpwstr>
  </property>
  <property fmtid="{D5CDD505-2E9C-101B-9397-08002B2CF9AE}" pid="4" name="KSOTemplateDocerSaveRecord">
    <vt:lpwstr>eyJoZGlkIjoiY2Q2MjU2MzMxMTIyNzIyYTQyZjg1OTZhMmRkYzhlY2QiLCJ1c2VySWQiOiI0MTcxNjY3MTMifQ==</vt:lpwstr>
  </property>
</Properties>
</file>