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
        <w:gridCol w:w="840"/>
        <w:gridCol w:w="696"/>
        <w:gridCol w:w="7320"/>
        <w:gridCol w:w="528"/>
        <w:gridCol w:w="528"/>
      </w:tblGrid>
      <w:tr w14:paraId="6C22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B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中山大学附属第一医院广西医院一期项目大会议室及公共实验室周边连廊改造工程</w:t>
            </w:r>
            <w:bookmarkStart w:id="0" w:name="_GoBack"/>
            <w:bookmarkEnd w:id="0"/>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395D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75A">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2B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437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37E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1F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0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得分</w:t>
            </w:r>
          </w:p>
        </w:tc>
      </w:tr>
      <w:tr w14:paraId="07E9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A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A6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企业信誉实力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E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B0E">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1、业绩（6分）2021年以来有作为施工单位独立完成（或者作为设计施工联合体的施工单位完成）合同金额100万元（含）以上类似项目的，每个业绩得2分，满分6分。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2、奖项（4分）2021年以来获得的施工类奖项,每个国家级奖项得3分，每个省级奖项得2分，每个市级奖项得1分，满分4分。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（备注：必须提供相关施工合同、竣工验收意见书及获奖证明复印件并加盖公章，否则不得分。）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A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CCE4">
            <w:pPr>
              <w:rPr>
                <w:rFonts w:hint="eastAsia" w:ascii="方正仿宋_GBK" w:hAnsi="方正仿宋_GBK" w:eastAsia="方正仿宋_GBK" w:cs="方正仿宋_GBK"/>
                <w:i w:val="0"/>
                <w:iCs w:val="0"/>
                <w:color w:val="000000"/>
                <w:sz w:val="21"/>
                <w:szCs w:val="21"/>
                <w:u w:val="none"/>
              </w:rPr>
            </w:pPr>
          </w:p>
        </w:tc>
      </w:tr>
      <w:tr w14:paraId="21D8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4"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项目管理机构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7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8F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项目经理注册资格（2分）具有建筑工程专业的一级注册建造师执业资格得2分，具有建筑工程专业的二级注册建造师得1分。（备注：同时具有一级和二级注册建造师的不重复计算得分，无建筑施工企业项目负责人安全生产考核合格证书（B证）的不得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2、项目经理职称（2分）具有高级职称得2分，中级职称得1分。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3、安全员（1分）具有建筑施工企业专职安全生产管理人员安全生产考核合格证书（C证）。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4、施工员（1分）具有相应施工现场专业人员职业培训合格证书，不得与其他人员为同一人。</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5、质检员（1分）具有相应施工现场专业人员职业培训合格证书，不得与其他人员为同一人。</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6、投标人需在投标文件中附承诺书，承诺项目经理每月在岗带班时间不得少于当月施工时间的80%，其他人员不得少于90%，否则“项目管理机构”的得分扣3分（最终得分不小于0分）。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必须提供相关人员资质、职称证书复印件以及近三个月社保缴纳证明文件并加盖公章，否则不得分。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7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19F7">
            <w:pPr>
              <w:rPr>
                <w:rFonts w:hint="eastAsia" w:ascii="方正仿宋_GBK" w:hAnsi="方正仿宋_GBK" w:eastAsia="方正仿宋_GBK" w:cs="方正仿宋_GBK"/>
                <w:i w:val="0"/>
                <w:iCs w:val="0"/>
                <w:color w:val="000000"/>
                <w:sz w:val="21"/>
                <w:szCs w:val="21"/>
                <w:u w:val="none"/>
              </w:rPr>
            </w:pPr>
          </w:p>
        </w:tc>
      </w:tr>
      <w:tr w14:paraId="03B1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主要施工方法</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3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87A">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1、优（7分）各主要分部施工方法符合项目实际，有详尽的施工技术方案，工艺先进、方法科学合理、可行，能指导具体施工并确保安全。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2、良（5分）各主要分部施工方法符合项目实际，有详尽的施工技术方案，工艺较好、方法较合理可行，能指导具体施工并确保安全。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3、中（3分）各主要分部施工方法符合项目实际，有施工技术方案，工艺一般、方法可行，能指导施工并确保安全。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4、差（1分）各主要分部施工方法不符合项目实际，有施工技术方案，工艺和方法不可行，不能指导具体施工并确保安全。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D684">
            <w:pPr>
              <w:rPr>
                <w:rFonts w:hint="eastAsia" w:ascii="方正仿宋_GBK" w:hAnsi="方正仿宋_GBK" w:eastAsia="方正仿宋_GBK" w:cs="方正仿宋_GBK"/>
                <w:i w:val="0"/>
                <w:iCs w:val="0"/>
                <w:color w:val="000000"/>
                <w:sz w:val="21"/>
                <w:szCs w:val="21"/>
                <w:u w:val="none"/>
              </w:rPr>
            </w:pPr>
          </w:p>
        </w:tc>
      </w:tr>
      <w:tr w14:paraId="1535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拟投入的物资、施工设备计划</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C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CBC">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1、优（7分）投入的施工材料、施工机械、设备、机具有详细的组织计划且计划周密，设备数量、选型配置、进场时间安排合理，满足施工需要。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2、良（5分）投入的施工材料、施工机械、设备、机具有详细的组织计划，计划较周密，设备数量、选型配置、进场时间安排较合理，基本满足施工需要。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3、中（3分）投入的施工材料、施工机械、设备、机具有组织计划但计划不够周密，设备数量、选型配置、进场时间安排不够合理，勉强满足施工需要。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4、差（1分）投入的施工材料、施工机械、设备、机具无组织计划，设备数量、选型配置、进场时间安排不合理，不满足施工需要。</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3E75">
            <w:pPr>
              <w:rPr>
                <w:rFonts w:hint="eastAsia" w:ascii="方正仿宋_GBK" w:hAnsi="方正仿宋_GBK" w:eastAsia="方正仿宋_GBK" w:cs="方正仿宋_GBK"/>
                <w:i w:val="0"/>
                <w:iCs w:val="0"/>
                <w:color w:val="000000"/>
                <w:sz w:val="21"/>
                <w:szCs w:val="21"/>
                <w:u w:val="none"/>
              </w:rPr>
            </w:pPr>
          </w:p>
        </w:tc>
      </w:tr>
      <w:tr w14:paraId="06CC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C6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中山大学附属第一医院广西医院一期项目大会议室配套用房改造工程</w:t>
            </w:r>
          </w:p>
          <w:p w14:paraId="62EFE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4E94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8C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A2C">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9A1">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BF0">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6A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4CC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得分</w:t>
            </w:r>
          </w:p>
        </w:tc>
      </w:tr>
      <w:tr w14:paraId="49E3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劳动力安排计划和确保工期的技术组织措施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E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FE5">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有控制工期的施工进度计划。有施工总进度表或施工网络图，各项计划图表编制完善，安排科学合理，符合本项目施工实际要求。各主要施工工序有详细周密的劳动力安排计划，有各工种劳动力安排计划，劳动力投入合理，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有控制工期的施工进度计划。有施工总进度表或施工网络图，各项计划图表编制较完善，较符合本项目施工实际要求。各主要施工工序有劳动力安排计划，有各工种劳动力安排计划，劳动力投入较合理，基本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有施工总进度表或施工网络图，各项计划图表编制不够完善，勉强符合本项目施工实际要求。各主要施工工序只有劳动力安排计划，无各工种劳动力安排计划，劳动力投入不够合理，勉强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4、差（1分）有施工总进度表或施工网络图但各项计划图表编制差，或者无施工总进度表和施工网络图，不符合本项目施工实际要求。各主要施工工序无劳动力安排计划，劳动力投入不合理，不满足施工需要。</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270A">
            <w:pPr>
              <w:rPr>
                <w:rFonts w:hint="eastAsia" w:ascii="方正仿宋_GBK" w:hAnsi="方正仿宋_GBK" w:eastAsia="方正仿宋_GBK" w:cs="方正仿宋_GBK"/>
                <w:i w:val="0"/>
                <w:iCs w:val="0"/>
                <w:color w:val="000000"/>
                <w:sz w:val="21"/>
                <w:szCs w:val="21"/>
                <w:u w:val="none"/>
              </w:rPr>
            </w:pPr>
          </w:p>
        </w:tc>
      </w:tr>
      <w:tr w14:paraId="1E4A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确保安全生产和文明施工的技术组织措施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D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B163">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针对本工程项目特点，有现场文明施工、环境保护措施，且措施内容达到《建筑施工安全生产检查标准》（JGJ59-2011）合格标准并符合《广西壮族自治区建筑工程文明施工导则》要求。各项措施非常周全、具体、有效。有具体实现现场文明施工目标的承诺。有专门的安全管理人员和制度，且人员配备合理，制度健全，各道工序安全技术措施针对性强，符合实际且满足有关安全技术标准要求。现场防火、应急救援、社会治安安全措施得力。</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针对本工程项目特点，有现场文明施工、环境保护措施，且措施内容达到《建筑施工安全生产检查标准》（JGJ59-2011）合格标准并符合《广西壮族自治区建筑工程文明施工导则》要求。各项措施较为周全、具体、有效。有实现现场文明施工目标的承诺。有专门的安全管理人员和制度，且人员配备较合理，制度较健全，各道工序安全技术措施针对性较强，符合实际且满足有关安全技术标准要求。现场防火、应急救援、社会治安安全措施较得力。</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有现场文明施工、环境保护措施，且措施内容达到《建筑施工安全生产检查标准》（JGJ59-2011）合格标准并符合《广西壮族自治区建筑工程文明施工导则》要求。各项措施一般。有实现现场文明施工目标的承诺。有专门的安全管理人员和基本的工序安全技术措施，基本满足有关安全技术标准要求。现场防火、应急救援、社会治安安全措施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有现场文明施工、环境保护措施，但措施内容未达到《建筑施工安全生产检查标准》（JGJ59-2011）合格标准，不符合《广西壮族自治区建筑工程文明施工导则》要求。各项措施较差，难以实施。无实现现场文明施工目标的承诺。无专门的安全管理人员和工序安全技术措施，且现场防火、应急救援、社会治安安全措施较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9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D073">
            <w:pPr>
              <w:rPr>
                <w:rFonts w:hint="eastAsia" w:ascii="方正仿宋_GBK" w:hAnsi="方正仿宋_GBK" w:eastAsia="方正仿宋_GBK" w:cs="方正仿宋_GBK"/>
                <w:i w:val="0"/>
                <w:iCs w:val="0"/>
                <w:color w:val="000000"/>
                <w:sz w:val="21"/>
                <w:szCs w:val="21"/>
                <w:u w:val="none"/>
              </w:rPr>
            </w:pPr>
          </w:p>
        </w:tc>
      </w:tr>
    </w:tbl>
    <w:p w14:paraId="75B0A6A1">
      <w:pPr>
        <w:rPr>
          <w:sz w:val="21"/>
          <w:szCs w:val="21"/>
        </w:rPr>
      </w:pPr>
    </w:p>
    <w:p w14:paraId="04D65F12">
      <w:pPr>
        <w:pStyle w:val="2"/>
        <w:rPr>
          <w:sz w:val="21"/>
          <w:szCs w:val="21"/>
        </w:rPr>
      </w:pPr>
    </w:p>
    <w:tbl>
      <w:tblPr>
        <w:tblStyle w:val="5"/>
        <w:tblW w:w="10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
        <w:gridCol w:w="840"/>
        <w:gridCol w:w="696"/>
        <w:gridCol w:w="7320"/>
        <w:gridCol w:w="528"/>
        <w:gridCol w:w="528"/>
      </w:tblGrid>
      <w:tr w14:paraId="71C4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D9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中山大学附属第一医院广西医院一期项目大会议室配套用房改造工程</w:t>
            </w:r>
          </w:p>
          <w:p w14:paraId="6280F0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3FD4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582">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47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DBD">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DC8">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6B2">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101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得分</w:t>
            </w:r>
          </w:p>
        </w:tc>
      </w:tr>
      <w:tr w14:paraId="10C7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1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报价分加权得分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7E6">
            <w:pPr>
              <w:keepNext w:val="0"/>
              <w:keepLines w:val="0"/>
              <w:widowControl/>
              <w:numPr>
                <w:ilvl w:val="0"/>
                <w:numId w:val="1"/>
              </w:numPr>
              <w:suppressLineNumbers w:val="0"/>
              <w:ind w:leftChars="0"/>
              <w:jc w:val="left"/>
              <w:textAlignment w:val="bottom"/>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有效报价范围：投标总价低于或等于招标控制价（备注：当所有有效报价均低于或等于招标控制价的85%时，否决所有投标。）。</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评标基准价P计算方式：取大于等于招标控制价的85%的有效报价参与评标基准价计算。当参与计算的有效报价数量大于4时，参与计算的有效报价由高到低排序后去掉一个最高报价和一个最低报价，其余报价的算术平均值为评标基准价。当参与计算的有效报价数量小于等于4时，取所有报价的算术平均值为评标基准价。</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3、报价分评分标准：报价分加权得分=（总报价得分+单价部分得分）</w:t>
            </w:r>
            <w:r>
              <w:rPr>
                <w:rFonts w:hint="default" w:ascii="Arial" w:hAnsi="Arial" w:eastAsia="方正仿宋_GBK" w:cs="Arial"/>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报价权重55%。其中：</w:t>
            </w:r>
          </w:p>
          <w:p w14:paraId="0BB143EE">
            <w:pPr>
              <w:keepNext w:val="0"/>
              <w:keepLines w:val="0"/>
              <w:widowControl/>
              <w:numPr>
                <w:ilvl w:val="0"/>
                <w:numId w:val="0"/>
              </w:numPr>
              <w:suppressLineNumbers w:val="0"/>
              <w:ind w:left="653" w:leftChars="190" w:hanging="254" w:hangingChars="121"/>
              <w:jc w:val="left"/>
              <w:textAlignment w:val="bottom"/>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3.1总报价分计算（满分85分，以85分为基数扣减）：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（1）总报价在97%P(含97%P)的, 总报价得基本分85分。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（2）总报价高于97%P(不含97%P) 的，以85分为基数，每高于97%P一个百分点扣1分，不足一个百分点的按四舍五入计，最多扣85分。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（3）总报价低于97%P(不含97%P) 的，以85分为基数，每低于97%P一个百分点扣0.5分，不足一个百分点的按四舍五入计，最多扣85分。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按上述办法计算得总报价分后，若《建设项目投标报价汇总表》、《工程量清单报价表》、《材料（工程设备）暂估单价及调整表》等有算术错误的，以投标报价汇总表标明的总额为基数，经算术错误改正后的投标报价汇总表总额每偏离一个百分点扣2分，不足一个百分点时，用内插法计算，直至总报价分被扣至0分为止。</w:t>
            </w:r>
          </w:p>
          <w:p w14:paraId="15D47FA5">
            <w:pPr>
              <w:keepNext w:val="0"/>
              <w:keepLines w:val="0"/>
              <w:widowControl/>
              <w:numPr>
                <w:ilvl w:val="0"/>
                <w:numId w:val="0"/>
              </w:numPr>
              <w:suppressLineNumbers w:val="0"/>
              <w:ind w:left="633" w:leftChars="198" w:hanging="217" w:firstLineChars="0"/>
              <w:jc w:val="lef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3.2单价部分得分计算（满分15分，以15分为基数扣减）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（1）工程量清单中主要项目（工程量清单中带*号项目）投标报价在该项目投标平均单价80%（含80%）至105%（含105%）之内的不扣分，之外的每项扣0.5分。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（2）投标项目单价超过公布控制单价的，每项扣2分。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（3）已标价的《工程量清单报价表》中引用的单价与单价分析表不符的，每发现一处扣0.5分。单项报价以算术修正后的《工程量清单报价表》为准。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以上3项一共最多扣15分。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注：①当有效报价数大于4家时，投标平均单价=所有相应项目单价除去一个最高值和一个最低值后的平均数；②当有效报价数小于等于4时，投标平均单价=所有相应项目单价的平均数。③工程量清单中主要项目由招标人按项目工程量清单所有单项数量的5%～15%比例选定）。</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4、分项计算，分项计分，保留至小数点后四位。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5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B8D">
            <w:pPr>
              <w:jc w:val="center"/>
              <w:rPr>
                <w:rFonts w:hint="eastAsia" w:ascii="方正仿宋_GBK" w:hAnsi="方正仿宋_GBK" w:eastAsia="方正仿宋_GBK" w:cs="方正仿宋_GBK"/>
                <w:i w:val="0"/>
                <w:iCs w:val="0"/>
                <w:color w:val="000000"/>
                <w:sz w:val="21"/>
                <w:szCs w:val="21"/>
                <w:u w:val="none"/>
              </w:rPr>
            </w:pPr>
          </w:p>
        </w:tc>
      </w:tr>
      <w:tr w14:paraId="03C7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C9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合计总得分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1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567">
            <w:pPr>
              <w:rPr>
                <w:rFonts w:hint="eastAsia" w:ascii="方正仿宋_GBK" w:hAnsi="方正仿宋_GBK" w:eastAsia="方正仿宋_GBK" w:cs="方正仿宋_GBK"/>
                <w:i w:val="0"/>
                <w:iCs w:val="0"/>
                <w:color w:val="000000"/>
                <w:sz w:val="21"/>
                <w:szCs w:val="21"/>
                <w:u w:val="none"/>
              </w:rPr>
            </w:pPr>
          </w:p>
        </w:tc>
      </w:tr>
      <w:tr w14:paraId="34FC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7EA3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7"/>
                <w:rFonts w:hint="eastAsia" w:ascii="方正仿宋_GBK" w:hAnsi="方正仿宋_GBK" w:eastAsia="方正仿宋_GBK" w:cs="方正仿宋_GBK"/>
                <w:sz w:val="21"/>
                <w:szCs w:val="21"/>
                <w:lang w:val="en-US" w:eastAsia="zh-CN" w:bidi="ar"/>
              </w:rPr>
              <w:t>备注：</w:t>
            </w:r>
            <w:r>
              <w:rPr>
                <w:rStyle w:val="7"/>
                <w:rFonts w:hint="eastAsia" w:ascii="方正仿宋_GBK" w:hAnsi="方正仿宋_GBK" w:eastAsia="方正仿宋_GBK" w:cs="方正仿宋_GBK"/>
                <w:sz w:val="21"/>
                <w:szCs w:val="21"/>
                <w:lang w:val="en-US" w:eastAsia="zh-CN" w:bidi="ar"/>
              </w:rPr>
              <w:br w:type="textWrapping"/>
            </w:r>
            <w:r>
              <w:rPr>
                <w:rStyle w:val="7"/>
                <w:rFonts w:hint="eastAsia" w:ascii="方正仿宋_GBK" w:hAnsi="方正仿宋_GBK" w:eastAsia="方正仿宋_GBK" w:cs="方正仿宋_GBK"/>
                <w:sz w:val="21"/>
                <w:szCs w:val="21"/>
                <w:lang w:val="en-US" w:eastAsia="zh-CN" w:bidi="ar"/>
              </w:rPr>
              <w:t>评分标准不设评分区间，各评委对照评分等级和内容确定得分（列如某项的评分标准优为8分，良为5分时，不得评7分或者6分）。</w:t>
            </w:r>
            <w:r>
              <w:rPr>
                <w:rStyle w:val="7"/>
                <w:rFonts w:hint="eastAsia" w:ascii="方正仿宋_GBK" w:hAnsi="方正仿宋_GBK" w:eastAsia="方正仿宋_GBK" w:cs="方正仿宋_GBK"/>
                <w:sz w:val="21"/>
                <w:szCs w:val="21"/>
                <w:lang w:val="en-US" w:eastAsia="zh-CN" w:bidi="ar"/>
              </w:rPr>
              <w:br w:type="textWrapping"/>
            </w:r>
          </w:p>
        </w:tc>
      </w:tr>
    </w:tbl>
    <w:p w14:paraId="040C96C8">
      <w:pPr>
        <w:pStyle w:val="2"/>
        <w:rPr>
          <w:sz w:val="21"/>
          <w:szCs w:val="21"/>
        </w:rPr>
      </w:pPr>
    </w:p>
    <w:sectPr>
      <w:footerReference r:id="rId3" w:type="default"/>
      <w:pgSz w:w="11906" w:h="16838"/>
      <w:pgMar w:top="1134" w:right="850" w:bottom="850" w:left="850" w:header="851" w:footer="45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EA2459-3050-40AD-8209-164ACC83FA33}"/>
  </w:font>
  <w:font w:name="黑体">
    <w:panose1 w:val="02010609060101010101"/>
    <w:charset w:val="86"/>
    <w:family w:val="auto"/>
    <w:pitch w:val="default"/>
    <w:sig w:usb0="800002BF" w:usb1="38CF7CFA" w:usb2="00000016" w:usb3="00000000" w:csb0="00040001" w:csb1="00000000"/>
    <w:embedRegular r:id="rId2" w:fontKey="{0D441C8A-DF37-4469-9058-9AEEA90FB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4DA1F095-64C1-458A-BC5C-78E3F6EE90C5}"/>
  </w:font>
  <w:font w:name="方正仿宋_GBK">
    <w:panose1 w:val="02000000000000000000"/>
    <w:charset w:val="86"/>
    <w:family w:val="auto"/>
    <w:pitch w:val="default"/>
    <w:sig w:usb0="A00002BF" w:usb1="38CF7CFA" w:usb2="00082016" w:usb3="00000000" w:csb0="00040001" w:csb1="00000000"/>
    <w:embedRegular r:id="rId4" w:fontKey="{9DC2129A-50B4-4C1D-AA13-53EFAD632459}"/>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F8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489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B489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850C6"/>
    <w:multiLevelType w:val="singleLevel"/>
    <w:tmpl w:val="2DB850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TJmODdkZjk4OTYzZWIzZjAwZGE0YmM4MWI1NDgifQ=="/>
  </w:docVars>
  <w:rsids>
    <w:rsidRoot w:val="30375276"/>
    <w:rsid w:val="0FC84B70"/>
    <w:rsid w:val="30375276"/>
    <w:rsid w:val="32343FBF"/>
    <w:rsid w:val="337C5B6A"/>
    <w:rsid w:val="3DCC5CB2"/>
    <w:rsid w:val="5C93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3390</Words>
  <Characters>3511</Characters>
  <Lines>0</Lines>
  <Paragraphs>0</Paragraphs>
  <TotalTime>0</TotalTime>
  <ScaleCrop>false</ScaleCrop>
  <LinksUpToDate>false</LinksUpToDate>
  <CharactersWithSpaces>3515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2024-09-06T08:35:00Z</dcterms:created>
  <dc:creator>擅匪惭实觅</dc:creator>
  <cp:lastModifiedBy>一条咸鱼</cp:lastModifiedBy>
  <cp:lastPrinted>2024-12-04T01:49:00Z</cp:lastPrinted>
  <dcterms:modified xsi:type="dcterms:W3CDTF">2024-12-18T12:36:18Z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231FDA1DE2D542729862ADB43FBD6D3A_11</vt:lpwstr>
  </property>
</Properties>
</file>