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32E87">
      <w:pPr>
        <w:keepNext w:val="0"/>
        <w:keepLines w:val="0"/>
        <w:pageBreakBefore w:val="0"/>
        <w:widowControl/>
        <w:kinsoku w:val="0"/>
        <w:wordWrap/>
        <w:overflowPunct/>
        <w:topLinePunct w:val="0"/>
        <w:autoSpaceDE w:val="0"/>
        <w:autoSpaceDN w:val="0"/>
        <w:bidi w:val="0"/>
        <w:adjustRightInd w:val="0"/>
        <w:snapToGrid w:val="0"/>
        <w:spacing w:after="313" w:afterLines="100" w:line="560" w:lineRule="exact"/>
        <w:jc w:val="center"/>
        <w:textAlignment w:val="baseline"/>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中山大学附属第一医院广西医院医用气体供应服务市场调研需求</w:t>
      </w:r>
    </w:p>
    <w:p w14:paraId="3348386C">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一 </w:t>
      </w:r>
      <w:r>
        <w:rPr>
          <w:rFonts w:hint="eastAsia" w:ascii="仿宋_GB2312" w:hAnsi="仿宋_GB2312" w:eastAsia="仿宋_GB2312" w:cs="仿宋_GB2312"/>
          <w:b/>
          <w:bCs/>
          <w:sz w:val="32"/>
          <w:szCs w:val="32"/>
        </w:rPr>
        <w:t>、资格条件</w:t>
      </w:r>
    </w:p>
    <w:p w14:paraId="12AA089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1.满足《中华人民共和国政府采购法》第二十二条规定；</w:t>
      </w:r>
    </w:p>
    <w:p w14:paraId="7977A65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2.落实政府采购政策需满足的资格要求：无；</w:t>
      </w:r>
    </w:p>
    <w:p w14:paraId="2C734E0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3.供应商为生产商须具备有效的《药品经营许可证》(许可范围包括“氧”)或《危险化学品经营许可证》(许可范围包括“氧”)或《安全生产许可证》(许可范围包括“氧”</w:t>
      </w:r>
      <w:bookmarkStart w:id="0" w:name="_GoBack"/>
      <w:bookmarkEnd w:id="0"/>
      <w:r>
        <w:rPr>
          <w:rFonts w:hint="eastAsia" w:ascii="仿宋_GB2312" w:hAnsi="仿宋_GB2312" w:eastAsia="仿宋_GB2312" w:cs="仿宋_GB2312"/>
          <w:sz w:val="32"/>
          <w:szCs w:val="32"/>
          <w:lang w:val="en-US" w:eastAsia="zh-CN"/>
        </w:rPr>
        <w:t>)。</w:t>
      </w:r>
    </w:p>
    <w:p w14:paraId="37763A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643" w:firstLineChars="200"/>
        <w:jc w:val="both"/>
        <w:textAlignment w:val="baseline"/>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采购需求</w:t>
      </w:r>
    </w:p>
    <w:tbl>
      <w:tblPr>
        <w:tblStyle w:val="11"/>
        <w:tblW w:w="97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6"/>
        <w:gridCol w:w="1545"/>
        <w:gridCol w:w="2040"/>
        <w:gridCol w:w="1575"/>
        <w:gridCol w:w="645"/>
        <w:gridCol w:w="1200"/>
        <w:gridCol w:w="1035"/>
        <w:gridCol w:w="1085"/>
      </w:tblGrid>
      <w:tr w14:paraId="497B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jc w:val="center"/>
        </w:trPr>
        <w:tc>
          <w:tcPr>
            <w:tcW w:w="606" w:type="dxa"/>
            <w:shd w:val="clear" w:color="auto" w:fill="auto"/>
            <w:noWrap w:val="0"/>
            <w:vAlign w:val="center"/>
          </w:tcPr>
          <w:p w14:paraId="4A4315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序号</w:t>
            </w:r>
          </w:p>
        </w:tc>
        <w:tc>
          <w:tcPr>
            <w:tcW w:w="1545" w:type="dxa"/>
            <w:shd w:val="clear" w:color="auto" w:fill="auto"/>
            <w:noWrap w:val="0"/>
            <w:vAlign w:val="center"/>
          </w:tcPr>
          <w:p w14:paraId="4F097B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品  名</w:t>
            </w:r>
          </w:p>
        </w:tc>
        <w:tc>
          <w:tcPr>
            <w:tcW w:w="2040" w:type="dxa"/>
            <w:shd w:val="clear" w:color="auto" w:fill="auto"/>
            <w:noWrap w:val="0"/>
            <w:vAlign w:val="center"/>
          </w:tcPr>
          <w:p w14:paraId="7D43F5D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规  格</w:t>
            </w:r>
          </w:p>
        </w:tc>
        <w:tc>
          <w:tcPr>
            <w:tcW w:w="1575" w:type="dxa"/>
            <w:shd w:val="clear" w:color="auto" w:fill="auto"/>
            <w:noWrap w:val="0"/>
            <w:vAlign w:val="center"/>
          </w:tcPr>
          <w:p w14:paraId="5A780F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技术参数</w:t>
            </w:r>
          </w:p>
        </w:tc>
        <w:tc>
          <w:tcPr>
            <w:tcW w:w="645" w:type="dxa"/>
            <w:shd w:val="clear" w:color="auto" w:fill="auto"/>
            <w:noWrap w:val="0"/>
            <w:vAlign w:val="center"/>
          </w:tcPr>
          <w:p w14:paraId="0BA51E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单位</w:t>
            </w:r>
          </w:p>
        </w:tc>
        <w:tc>
          <w:tcPr>
            <w:tcW w:w="1200" w:type="dxa"/>
            <w:shd w:val="clear" w:color="auto" w:fill="auto"/>
            <w:noWrap w:val="0"/>
            <w:vAlign w:val="center"/>
          </w:tcPr>
          <w:p w14:paraId="1D3771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1年计划用量</w:t>
            </w:r>
          </w:p>
        </w:tc>
        <w:tc>
          <w:tcPr>
            <w:tcW w:w="1035" w:type="dxa"/>
            <w:shd w:val="clear" w:color="auto" w:fill="auto"/>
            <w:noWrap w:val="0"/>
            <w:vAlign w:val="center"/>
          </w:tcPr>
          <w:p w14:paraId="2F5DE8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en-US" w:bidi="ar-SA"/>
              </w:rPr>
            </w:pPr>
            <w:r>
              <w:rPr>
                <w:rFonts w:hint="eastAsia" w:ascii="仿宋_GB2312" w:hAnsi="仿宋_GB2312" w:eastAsia="仿宋_GB2312" w:cs="仿宋_GB2312"/>
                <w:b w:val="0"/>
                <w:bCs w:val="0"/>
                <w:color w:val="auto"/>
                <w:sz w:val="21"/>
                <w:szCs w:val="21"/>
                <w:lang w:val="en-US" w:eastAsia="zh-CN"/>
              </w:rPr>
              <w:t>单价</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元</w:t>
            </w:r>
            <w:r>
              <w:rPr>
                <w:rFonts w:hint="eastAsia" w:ascii="仿宋_GB2312" w:hAnsi="仿宋_GB2312" w:eastAsia="仿宋_GB2312" w:cs="仿宋_GB2312"/>
                <w:b w:val="0"/>
                <w:bCs w:val="0"/>
                <w:color w:val="auto"/>
                <w:sz w:val="21"/>
                <w:szCs w:val="21"/>
                <w:lang w:eastAsia="zh-CN"/>
              </w:rPr>
              <w:t>）</w:t>
            </w:r>
          </w:p>
        </w:tc>
        <w:tc>
          <w:tcPr>
            <w:tcW w:w="1085" w:type="dxa"/>
            <w:shd w:val="clear" w:color="auto" w:fill="auto"/>
            <w:noWrap w:val="0"/>
            <w:vAlign w:val="center"/>
          </w:tcPr>
          <w:p w14:paraId="0D2FD9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合计（元）</w:t>
            </w:r>
          </w:p>
        </w:tc>
      </w:tr>
      <w:tr w14:paraId="201A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jc w:val="center"/>
        </w:trPr>
        <w:tc>
          <w:tcPr>
            <w:tcW w:w="606" w:type="dxa"/>
            <w:shd w:val="clear" w:color="auto" w:fill="auto"/>
            <w:noWrap w:val="0"/>
            <w:vAlign w:val="center"/>
          </w:tcPr>
          <w:p w14:paraId="304D44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w:t>
            </w:r>
          </w:p>
        </w:tc>
        <w:tc>
          <w:tcPr>
            <w:tcW w:w="1545" w:type="dxa"/>
            <w:shd w:val="clear" w:color="auto" w:fill="auto"/>
            <w:noWrap w:val="0"/>
            <w:vAlign w:val="center"/>
          </w:tcPr>
          <w:p w14:paraId="5B3C36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50C3B5E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5L</w:t>
            </w:r>
          </w:p>
        </w:tc>
        <w:tc>
          <w:tcPr>
            <w:tcW w:w="1575" w:type="dxa"/>
            <w:shd w:val="clear" w:color="auto" w:fill="auto"/>
            <w:noWrap w:val="0"/>
            <w:vAlign w:val="center"/>
          </w:tcPr>
          <w:p w14:paraId="4E71B85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149EF1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5A6B85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100</w:t>
            </w:r>
          </w:p>
        </w:tc>
        <w:tc>
          <w:tcPr>
            <w:tcW w:w="1035" w:type="dxa"/>
            <w:shd w:val="clear" w:color="auto" w:fill="FFFFFF"/>
            <w:noWrap w:val="0"/>
            <w:vAlign w:val="center"/>
          </w:tcPr>
          <w:p w14:paraId="4616A026">
            <w:pPr>
              <w:jc w:val="center"/>
              <w:rPr>
                <w:rFonts w:hint="default"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746E49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1DE8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jc w:val="center"/>
        </w:trPr>
        <w:tc>
          <w:tcPr>
            <w:tcW w:w="606" w:type="dxa"/>
            <w:shd w:val="clear" w:color="auto" w:fill="auto"/>
            <w:noWrap w:val="0"/>
            <w:vAlign w:val="center"/>
          </w:tcPr>
          <w:p w14:paraId="061184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w:t>
            </w:r>
          </w:p>
        </w:tc>
        <w:tc>
          <w:tcPr>
            <w:tcW w:w="1545" w:type="dxa"/>
            <w:shd w:val="clear" w:color="auto" w:fill="auto"/>
            <w:noWrap w:val="0"/>
            <w:vAlign w:val="center"/>
          </w:tcPr>
          <w:p w14:paraId="026F28B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1C7B538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10L</w:t>
            </w:r>
          </w:p>
        </w:tc>
        <w:tc>
          <w:tcPr>
            <w:tcW w:w="1575" w:type="dxa"/>
            <w:shd w:val="clear" w:color="auto" w:fill="auto"/>
            <w:noWrap w:val="0"/>
            <w:vAlign w:val="center"/>
          </w:tcPr>
          <w:p w14:paraId="76AD498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3E6997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128A8D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250</w:t>
            </w:r>
          </w:p>
        </w:tc>
        <w:tc>
          <w:tcPr>
            <w:tcW w:w="1035" w:type="dxa"/>
            <w:shd w:val="clear" w:color="auto" w:fill="FFFFFF"/>
            <w:noWrap w:val="0"/>
            <w:vAlign w:val="center"/>
          </w:tcPr>
          <w:p w14:paraId="1BC2A644">
            <w:pPr>
              <w:jc w:val="center"/>
              <w:rPr>
                <w:rFonts w:hint="default"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D160E5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106A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jc w:val="center"/>
        </w:trPr>
        <w:tc>
          <w:tcPr>
            <w:tcW w:w="606" w:type="dxa"/>
            <w:shd w:val="clear" w:color="auto" w:fill="auto"/>
            <w:noWrap w:val="0"/>
            <w:vAlign w:val="center"/>
          </w:tcPr>
          <w:p w14:paraId="643736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w:t>
            </w:r>
          </w:p>
        </w:tc>
        <w:tc>
          <w:tcPr>
            <w:tcW w:w="1545" w:type="dxa"/>
            <w:shd w:val="clear" w:color="auto" w:fill="auto"/>
            <w:noWrap w:val="0"/>
            <w:vAlign w:val="center"/>
          </w:tcPr>
          <w:p w14:paraId="710B5F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医用氧</w:t>
            </w:r>
          </w:p>
        </w:tc>
        <w:tc>
          <w:tcPr>
            <w:tcW w:w="2040" w:type="dxa"/>
            <w:shd w:val="clear" w:color="auto" w:fill="auto"/>
            <w:noWrap w:val="0"/>
            <w:vAlign w:val="center"/>
          </w:tcPr>
          <w:p w14:paraId="297A9D1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15L</w:t>
            </w:r>
          </w:p>
        </w:tc>
        <w:tc>
          <w:tcPr>
            <w:tcW w:w="1575" w:type="dxa"/>
            <w:shd w:val="clear" w:color="auto" w:fill="auto"/>
            <w:noWrap w:val="0"/>
            <w:vAlign w:val="center"/>
          </w:tcPr>
          <w:p w14:paraId="5FAF18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30DF93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瓶</w:t>
            </w:r>
          </w:p>
        </w:tc>
        <w:tc>
          <w:tcPr>
            <w:tcW w:w="1200" w:type="dxa"/>
            <w:shd w:val="clear" w:color="auto" w:fill="FFFFFF"/>
            <w:noWrap w:val="0"/>
            <w:vAlign w:val="center"/>
          </w:tcPr>
          <w:p w14:paraId="6E6F2D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50</w:t>
            </w:r>
          </w:p>
        </w:tc>
        <w:tc>
          <w:tcPr>
            <w:tcW w:w="1035" w:type="dxa"/>
            <w:shd w:val="clear" w:color="auto" w:fill="FFFFFF"/>
            <w:noWrap w:val="0"/>
            <w:vAlign w:val="center"/>
          </w:tcPr>
          <w:p w14:paraId="56AE4DEC">
            <w:pPr>
              <w:jc w:val="center"/>
              <w:rPr>
                <w:rFonts w:hint="default"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32A3A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CFF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42218F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4</w:t>
            </w:r>
          </w:p>
        </w:tc>
        <w:tc>
          <w:tcPr>
            <w:tcW w:w="1545" w:type="dxa"/>
            <w:shd w:val="clear" w:color="auto" w:fill="auto"/>
            <w:noWrap w:val="0"/>
            <w:vAlign w:val="center"/>
          </w:tcPr>
          <w:p w14:paraId="129C8C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1DA40B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7477A1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55E968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2883E4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7B69859E">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1491E1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1DE2F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06" w:type="dxa"/>
            <w:shd w:val="clear" w:color="auto" w:fill="auto"/>
            <w:noWrap w:val="0"/>
            <w:vAlign w:val="center"/>
          </w:tcPr>
          <w:p w14:paraId="669F92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5</w:t>
            </w:r>
          </w:p>
        </w:tc>
        <w:tc>
          <w:tcPr>
            <w:tcW w:w="1545" w:type="dxa"/>
            <w:shd w:val="clear" w:color="auto" w:fill="auto"/>
            <w:noWrap w:val="0"/>
            <w:vAlign w:val="center"/>
          </w:tcPr>
          <w:p w14:paraId="24563F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31BE4C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165L杜瓦罐</w:t>
            </w:r>
          </w:p>
        </w:tc>
        <w:tc>
          <w:tcPr>
            <w:tcW w:w="1575" w:type="dxa"/>
            <w:shd w:val="clear" w:color="auto" w:fill="auto"/>
            <w:noWrap w:val="0"/>
            <w:vAlign w:val="center"/>
          </w:tcPr>
          <w:p w14:paraId="710B35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450ABC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罐</w:t>
            </w:r>
          </w:p>
        </w:tc>
        <w:tc>
          <w:tcPr>
            <w:tcW w:w="1200" w:type="dxa"/>
            <w:shd w:val="clear" w:color="auto" w:fill="FFFFFF"/>
            <w:noWrap w:val="0"/>
            <w:vAlign w:val="center"/>
          </w:tcPr>
          <w:p w14:paraId="36C514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51808CA8">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1D8023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60F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jc w:val="center"/>
        </w:trPr>
        <w:tc>
          <w:tcPr>
            <w:tcW w:w="606" w:type="dxa"/>
            <w:shd w:val="clear" w:color="auto" w:fill="auto"/>
            <w:noWrap w:val="0"/>
            <w:vAlign w:val="center"/>
          </w:tcPr>
          <w:p w14:paraId="5662E7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6</w:t>
            </w:r>
          </w:p>
        </w:tc>
        <w:tc>
          <w:tcPr>
            <w:tcW w:w="1545" w:type="dxa"/>
            <w:shd w:val="clear" w:color="auto" w:fill="auto"/>
            <w:noWrap w:val="0"/>
            <w:vAlign w:val="center"/>
          </w:tcPr>
          <w:p w14:paraId="314095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医用氧</w:t>
            </w:r>
          </w:p>
        </w:tc>
        <w:tc>
          <w:tcPr>
            <w:tcW w:w="2040" w:type="dxa"/>
            <w:shd w:val="clear" w:color="auto" w:fill="auto"/>
            <w:noWrap w:val="0"/>
            <w:vAlign w:val="center"/>
          </w:tcPr>
          <w:p w14:paraId="6C28AA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液态</w:t>
            </w:r>
          </w:p>
        </w:tc>
        <w:tc>
          <w:tcPr>
            <w:tcW w:w="1575" w:type="dxa"/>
            <w:shd w:val="clear" w:color="auto" w:fill="auto"/>
            <w:noWrap w:val="0"/>
            <w:vAlign w:val="center"/>
          </w:tcPr>
          <w:p w14:paraId="1269736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15EAFD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吨</w:t>
            </w:r>
          </w:p>
        </w:tc>
        <w:tc>
          <w:tcPr>
            <w:tcW w:w="1200" w:type="dxa"/>
            <w:shd w:val="clear" w:color="auto" w:fill="FFFFFF"/>
            <w:noWrap w:val="0"/>
            <w:vAlign w:val="center"/>
          </w:tcPr>
          <w:p w14:paraId="68B504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300</w:t>
            </w:r>
          </w:p>
        </w:tc>
        <w:tc>
          <w:tcPr>
            <w:tcW w:w="1035" w:type="dxa"/>
            <w:shd w:val="clear" w:color="auto" w:fill="FFFFFF"/>
            <w:noWrap w:val="0"/>
            <w:vAlign w:val="center"/>
          </w:tcPr>
          <w:p w14:paraId="256B1C45">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643A3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9E7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jc w:val="center"/>
        </w:trPr>
        <w:tc>
          <w:tcPr>
            <w:tcW w:w="606" w:type="dxa"/>
            <w:shd w:val="clear" w:color="auto" w:fill="auto"/>
            <w:noWrap w:val="0"/>
            <w:vAlign w:val="center"/>
          </w:tcPr>
          <w:p w14:paraId="782B79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7</w:t>
            </w:r>
          </w:p>
        </w:tc>
        <w:tc>
          <w:tcPr>
            <w:tcW w:w="1545" w:type="dxa"/>
            <w:shd w:val="clear" w:color="auto" w:fill="auto"/>
            <w:noWrap w:val="0"/>
            <w:vAlign w:val="center"/>
          </w:tcPr>
          <w:p w14:paraId="43EE60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液态氮</w:t>
            </w:r>
          </w:p>
        </w:tc>
        <w:tc>
          <w:tcPr>
            <w:tcW w:w="2040" w:type="dxa"/>
            <w:shd w:val="clear" w:color="auto" w:fill="auto"/>
            <w:noWrap w:val="0"/>
            <w:vAlign w:val="center"/>
          </w:tcPr>
          <w:p w14:paraId="732ACC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1575" w:type="dxa"/>
            <w:shd w:val="clear" w:color="auto" w:fill="auto"/>
            <w:noWrap w:val="0"/>
            <w:vAlign w:val="center"/>
          </w:tcPr>
          <w:p w14:paraId="016BFC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w:t>
            </w:r>
          </w:p>
        </w:tc>
        <w:tc>
          <w:tcPr>
            <w:tcW w:w="645" w:type="dxa"/>
            <w:shd w:val="clear" w:color="auto" w:fill="auto"/>
            <w:noWrap w:val="0"/>
            <w:vAlign w:val="center"/>
          </w:tcPr>
          <w:p w14:paraId="083E65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L</w:t>
            </w:r>
          </w:p>
        </w:tc>
        <w:tc>
          <w:tcPr>
            <w:tcW w:w="1200" w:type="dxa"/>
            <w:shd w:val="clear" w:color="auto" w:fill="FFFFFF"/>
            <w:noWrap w:val="0"/>
            <w:vAlign w:val="center"/>
          </w:tcPr>
          <w:p w14:paraId="6C1056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20</w:t>
            </w:r>
          </w:p>
        </w:tc>
        <w:tc>
          <w:tcPr>
            <w:tcW w:w="1035" w:type="dxa"/>
            <w:shd w:val="clear" w:color="auto" w:fill="FFFFFF"/>
            <w:noWrap w:val="0"/>
            <w:vAlign w:val="center"/>
          </w:tcPr>
          <w:p w14:paraId="5D6EF842">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773939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71E4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06" w:type="dxa"/>
            <w:shd w:val="clear" w:color="auto" w:fill="auto"/>
            <w:noWrap w:val="0"/>
            <w:vAlign w:val="center"/>
          </w:tcPr>
          <w:p w14:paraId="7383D4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8</w:t>
            </w:r>
          </w:p>
        </w:tc>
        <w:tc>
          <w:tcPr>
            <w:tcW w:w="1545" w:type="dxa"/>
            <w:shd w:val="clear" w:color="auto" w:fill="auto"/>
            <w:noWrap w:val="0"/>
            <w:vAlign w:val="center"/>
          </w:tcPr>
          <w:p w14:paraId="553327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高纯液态氮</w:t>
            </w:r>
          </w:p>
        </w:tc>
        <w:tc>
          <w:tcPr>
            <w:tcW w:w="2040" w:type="dxa"/>
            <w:shd w:val="clear" w:color="auto" w:fill="auto"/>
            <w:noWrap w:val="0"/>
            <w:vAlign w:val="center"/>
          </w:tcPr>
          <w:p w14:paraId="6CCB95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1575" w:type="dxa"/>
            <w:shd w:val="clear" w:color="auto" w:fill="auto"/>
            <w:noWrap w:val="0"/>
            <w:vAlign w:val="center"/>
          </w:tcPr>
          <w:p w14:paraId="3F960F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≥99.995%</w:t>
            </w:r>
          </w:p>
        </w:tc>
        <w:tc>
          <w:tcPr>
            <w:tcW w:w="645" w:type="dxa"/>
            <w:shd w:val="clear" w:color="auto" w:fill="auto"/>
            <w:noWrap w:val="0"/>
            <w:vAlign w:val="center"/>
          </w:tcPr>
          <w:p w14:paraId="5B6E30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L</w:t>
            </w:r>
          </w:p>
        </w:tc>
        <w:tc>
          <w:tcPr>
            <w:tcW w:w="1200" w:type="dxa"/>
            <w:shd w:val="clear" w:color="auto" w:fill="FFFFFF"/>
            <w:noWrap w:val="0"/>
            <w:vAlign w:val="center"/>
          </w:tcPr>
          <w:p w14:paraId="633A49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220</w:t>
            </w:r>
          </w:p>
        </w:tc>
        <w:tc>
          <w:tcPr>
            <w:tcW w:w="1035" w:type="dxa"/>
            <w:shd w:val="clear" w:color="auto" w:fill="FFFFFF"/>
            <w:noWrap w:val="0"/>
            <w:vAlign w:val="center"/>
          </w:tcPr>
          <w:p w14:paraId="50D30109">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2D087F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4FFC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606" w:type="dxa"/>
            <w:shd w:val="clear" w:color="auto" w:fill="auto"/>
            <w:noWrap w:val="0"/>
            <w:vAlign w:val="center"/>
          </w:tcPr>
          <w:p w14:paraId="129151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9</w:t>
            </w:r>
          </w:p>
        </w:tc>
        <w:tc>
          <w:tcPr>
            <w:tcW w:w="1545" w:type="dxa"/>
            <w:shd w:val="clear" w:color="auto" w:fill="auto"/>
            <w:noWrap w:val="0"/>
            <w:vAlign w:val="center"/>
          </w:tcPr>
          <w:p w14:paraId="3CC951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普氮</w:t>
            </w:r>
          </w:p>
        </w:tc>
        <w:tc>
          <w:tcPr>
            <w:tcW w:w="2040" w:type="dxa"/>
            <w:shd w:val="clear" w:color="auto" w:fill="auto"/>
            <w:noWrap w:val="0"/>
            <w:vAlign w:val="center"/>
          </w:tcPr>
          <w:p w14:paraId="7E51DF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3F8A2F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≥99.2%</w:t>
            </w:r>
          </w:p>
        </w:tc>
        <w:tc>
          <w:tcPr>
            <w:tcW w:w="645" w:type="dxa"/>
            <w:shd w:val="clear" w:color="auto" w:fill="auto"/>
            <w:noWrap w:val="0"/>
            <w:vAlign w:val="center"/>
          </w:tcPr>
          <w:p w14:paraId="6E7D91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1CB5B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70219860">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887D9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2CA5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606" w:type="dxa"/>
            <w:shd w:val="clear" w:color="auto" w:fill="auto"/>
            <w:noWrap w:val="0"/>
            <w:vAlign w:val="center"/>
          </w:tcPr>
          <w:p w14:paraId="2F0093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1545" w:type="dxa"/>
            <w:shd w:val="clear" w:color="auto" w:fill="auto"/>
            <w:noWrap w:val="0"/>
            <w:vAlign w:val="center"/>
          </w:tcPr>
          <w:p w14:paraId="7AFF1E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纯氮</w:t>
            </w:r>
          </w:p>
        </w:tc>
        <w:tc>
          <w:tcPr>
            <w:tcW w:w="2040" w:type="dxa"/>
            <w:shd w:val="clear" w:color="auto" w:fill="auto"/>
            <w:noWrap w:val="0"/>
            <w:vAlign w:val="center"/>
          </w:tcPr>
          <w:p w14:paraId="58B0AF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6A2838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w:t>
            </w:r>
          </w:p>
        </w:tc>
        <w:tc>
          <w:tcPr>
            <w:tcW w:w="645" w:type="dxa"/>
            <w:shd w:val="clear" w:color="auto" w:fill="auto"/>
            <w:noWrap w:val="0"/>
            <w:vAlign w:val="center"/>
          </w:tcPr>
          <w:p w14:paraId="7D7314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0FF162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1BEE9629">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688F3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8CF5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jc w:val="center"/>
        </w:trPr>
        <w:tc>
          <w:tcPr>
            <w:tcW w:w="606" w:type="dxa"/>
            <w:shd w:val="clear" w:color="auto" w:fill="auto"/>
            <w:noWrap w:val="0"/>
            <w:vAlign w:val="center"/>
          </w:tcPr>
          <w:p w14:paraId="4E50E4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11</w:t>
            </w:r>
          </w:p>
        </w:tc>
        <w:tc>
          <w:tcPr>
            <w:tcW w:w="1545" w:type="dxa"/>
            <w:shd w:val="clear" w:color="auto" w:fill="auto"/>
            <w:noWrap w:val="0"/>
            <w:vAlign w:val="center"/>
          </w:tcPr>
          <w:p w14:paraId="6D2784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高纯氮</w:t>
            </w:r>
          </w:p>
        </w:tc>
        <w:tc>
          <w:tcPr>
            <w:tcW w:w="2040" w:type="dxa"/>
            <w:shd w:val="clear" w:color="auto" w:fill="auto"/>
            <w:noWrap w:val="0"/>
            <w:vAlign w:val="center"/>
          </w:tcPr>
          <w:p w14:paraId="483399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1C27180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≥99.999%</w:t>
            </w:r>
          </w:p>
        </w:tc>
        <w:tc>
          <w:tcPr>
            <w:tcW w:w="645" w:type="dxa"/>
            <w:shd w:val="clear" w:color="auto" w:fill="auto"/>
            <w:noWrap w:val="0"/>
            <w:vAlign w:val="center"/>
          </w:tcPr>
          <w:p w14:paraId="1038CC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7A44B8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3E54C9D4">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A13DA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445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753C44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12</w:t>
            </w:r>
          </w:p>
        </w:tc>
        <w:tc>
          <w:tcPr>
            <w:tcW w:w="1545" w:type="dxa"/>
            <w:shd w:val="clear" w:color="auto" w:fill="auto"/>
            <w:noWrap w:val="0"/>
            <w:vAlign w:val="center"/>
          </w:tcPr>
          <w:p w14:paraId="5AF044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二氧化碳</w:t>
            </w:r>
          </w:p>
        </w:tc>
        <w:tc>
          <w:tcPr>
            <w:tcW w:w="2040" w:type="dxa"/>
            <w:shd w:val="clear" w:color="auto" w:fill="auto"/>
            <w:noWrap w:val="0"/>
            <w:vAlign w:val="center"/>
          </w:tcPr>
          <w:p w14:paraId="710A2E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61727E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w:t>
            </w:r>
          </w:p>
        </w:tc>
        <w:tc>
          <w:tcPr>
            <w:tcW w:w="645" w:type="dxa"/>
            <w:shd w:val="clear" w:color="auto" w:fill="auto"/>
            <w:noWrap w:val="0"/>
            <w:vAlign w:val="center"/>
          </w:tcPr>
          <w:p w14:paraId="5B6CDA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53A549A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093C7BED">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F0D6A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F27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66DE78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13</w:t>
            </w:r>
          </w:p>
        </w:tc>
        <w:tc>
          <w:tcPr>
            <w:tcW w:w="1545" w:type="dxa"/>
            <w:shd w:val="clear" w:color="auto" w:fill="auto"/>
            <w:noWrap w:val="0"/>
            <w:vAlign w:val="center"/>
          </w:tcPr>
          <w:p w14:paraId="33B7C3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二氧化碳</w:t>
            </w:r>
          </w:p>
        </w:tc>
        <w:tc>
          <w:tcPr>
            <w:tcW w:w="2040" w:type="dxa"/>
            <w:shd w:val="clear" w:color="auto" w:fill="auto"/>
            <w:noWrap w:val="0"/>
            <w:vAlign w:val="center"/>
          </w:tcPr>
          <w:p w14:paraId="36F98D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37F612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0E4AF7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3956F9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150</w:t>
            </w:r>
          </w:p>
        </w:tc>
        <w:tc>
          <w:tcPr>
            <w:tcW w:w="1035" w:type="dxa"/>
            <w:shd w:val="clear" w:color="auto" w:fill="FFFFFF"/>
            <w:noWrap w:val="0"/>
            <w:vAlign w:val="center"/>
          </w:tcPr>
          <w:p w14:paraId="009FE2C0">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064AD87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BAB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5CE9990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14</w:t>
            </w:r>
          </w:p>
        </w:tc>
        <w:tc>
          <w:tcPr>
            <w:tcW w:w="1545" w:type="dxa"/>
            <w:shd w:val="clear" w:color="auto" w:fill="auto"/>
            <w:noWrap w:val="0"/>
            <w:vAlign w:val="center"/>
          </w:tcPr>
          <w:p w14:paraId="2580B1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二氧化碳</w:t>
            </w:r>
          </w:p>
        </w:tc>
        <w:tc>
          <w:tcPr>
            <w:tcW w:w="2040" w:type="dxa"/>
            <w:shd w:val="clear" w:color="auto" w:fill="auto"/>
            <w:noWrap w:val="0"/>
            <w:vAlign w:val="center"/>
          </w:tcPr>
          <w:p w14:paraId="5812EA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10-15L</w:t>
            </w:r>
          </w:p>
        </w:tc>
        <w:tc>
          <w:tcPr>
            <w:tcW w:w="1575" w:type="dxa"/>
            <w:shd w:val="clear" w:color="auto" w:fill="auto"/>
            <w:noWrap w:val="0"/>
            <w:vAlign w:val="center"/>
          </w:tcPr>
          <w:p w14:paraId="5B60F5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3FFBDD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43449B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46A9BEAB">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28738F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4AD0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06" w:type="dxa"/>
            <w:shd w:val="clear" w:color="auto" w:fill="auto"/>
            <w:noWrap w:val="0"/>
            <w:vAlign w:val="center"/>
          </w:tcPr>
          <w:p w14:paraId="28DCEC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15</w:t>
            </w:r>
          </w:p>
        </w:tc>
        <w:tc>
          <w:tcPr>
            <w:tcW w:w="1545" w:type="dxa"/>
            <w:shd w:val="clear" w:color="auto" w:fill="auto"/>
            <w:noWrap w:val="0"/>
            <w:vAlign w:val="center"/>
          </w:tcPr>
          <w:p w14:paraId="0112E08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二氧化碳</w:t>
            </w:r>
          </w:p>
        </w:tc>
        <w:tc>
          <w:tcPr>
            <w:tcW w:w="2040" w:type="dxa"/>
            <w:shd w:val="clear" w:color="auto" w:fill="auto"/>
            <w:noWrap w:val="0"/>
            <w:vAlign w:val="center"/>
          </w:tcPr>
          <w:p w14:paraId="3637DC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5L</w:t>
            </w:r>
          </w:p>
        </w:tc>
        <w:tc>
          <w:tcPr>
            <w:tcW w:w="1575" w:type="dxa"/>
            <w:shd w:val="clear" w:color="auto" w:fill="auto"/>
            <w:noWrap w:val="0"/>
            <w:vAlign w:val="center"/>
          </w:tcPr>
          <w:p w14:paraId="2EB1F4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≥99.5%</w:t>
            </w:r>
          </w:p>
        </w:tc>
        <w:tc>
          <w:tcPr>
            <w:tcW w:w="645" w:type="dxa"/>
            <w:shd w:val="clear" w:color="auto" w:fill="auto"/>
            <w:noWrap w:val="0"/>
            <w:vAlign w:val="center"/>
          </w:tcPr>
          <w:p w14:paraId="62F111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BC2F7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42FBDCE6">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E537F1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67370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06" w:type="dxa"/>
            <w:shd w:val="clear" w:color="auto" w:fill="auto"/>
            <w:noWrap w:val="0"/>
            <w:vAlign w:val="center"/>
          </w:tcPr>
          <w:p w14:paraId="1DA5FDA1">
            <w:pPr>
              <w:widowControl/>
              <w:jc w:val="center"/>
              <w:textAlignment w:val="center"/>
              <w:rPr>
                <w:rFonts w:hint="default" w:ascii="仿宋_GB2312" w:hAnsi="仿宋_GB2312" w:eastAsia="仿宋_GB2312" w:cs="仿宋_GB2312"/>
                <w:b w:val="0"/>
                <w:bCs w:val="0"/>
                <w:kern w:val="0"/>
                <w:sz w:val="21"/>
                <w:szCs w:val="21"/>
                <w:lang w:val="en-US" w:eastAsia="zh-CN" w:bidi="ar"/>
              </w:rPr>
            </w:pPr>
            <w:r>
              <w:rPr>
                <w:rFonts w:hint="eastAsia" w:ascii="仿宋_GB2312" w:hAnsi="仿宋_GB2312" w:eastAsia="仿宋_GB2312" w:cs="仿宋_GB2312"/>
                <w:b w:val="0"/>
                <w:bCs w:val="0"/>
                <w:kern w:val="0"/>
                <w:sz w:val="21"/>
                <w:szCs w:val="21"/>
                <w:lang w:val="en-US" w:eastAsia="zh-CN" w:bidi="ar"/>
              </w:rPr>
              <w:t>16</w:t>
            </w:r>
          </w:p>
        </w:tc>
        <w:tc>
          <w:tcPr>
            <w:tcW w:w="1545" w:type="dxa"/>
            <w:shd w:val="clear" w:color="auto" w:fill="auto"/>
            <w:noWrap w:val="0"/>
            <w:vAlign w:val="center"/>
          </w:tcPr>
          <w:p w14:paraId="2A3A08C0">
            <w:pPr>
              <w:widowControl/>
              <w:jc w:val="center"/>
              <w:textAlignment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kern w:val="0"/>
                <w:sz w:val="21"/>
                <w:szCs w:val="21"/>
                <w:lang w:bidi="ar"/>
              </w:rPr>
              <w:t>食品级二氧化碳</w:t>
            </w:r>
          </w:p>
        </w:tc>
        <w:tc>
          <w:tcPr>
            <w:tcW w:w="2040" w:type="dxa"/>
            <w:shd w:val="clear" w:color="auto" w:fill="auto"/>
            <w:noWrap w:val="0"/>
            <w:vAlign w:val="center"/>
          </w:tcPr>
          <w:p w14:paraId="5A0C726F">
            <w:pPr>
              <w:widowControl/>
              <w:jc w:val="center"/>
              <w:textAlignment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kern w:val="0"/>
                <w:sz w:val="21"/>
                <w:szCs w:val="21"/>
                <w:lang w:bidi="ar"/>
              </w:rPr>
              <w:t>40L</w:t>
            </w:r>
          </w:p>
        </w:tc>
        <w:tc>
          <w:tcPr>
            <w:tcW w:w="1575" w:type="dxa"/>
            <w:shd w:val="clear" w:color="auto" w:fill="auto"/>
            <w:noWrap w:val="0"/>
            <w:vAlign w:val="center"/>
          </w:tcPr>
          <w:p w14:paraId="1EF4F1E8">
            <w:pPr>
              <w:widowControl/>
              <w:jc w:val="center"/>
              <w:textAlignment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kern w:val="0"/>
                <w:sz w:val="21"/>
                <w:szCs w:val="21"/>
                <w:lang w:bidi="ar"/>
              </w:rPr>
              <w:t>CO</w:t>
            </w:r>
            <w:r>
              <w:rPr>
                <w:rFonts w:hint="eastAsia" w:ascii="仿宋_GB2312" w:hAnsi="仿宋_GB2312" w:eastAsia="仿宋_GB2312" w:cs="仿宋_GB2312"/>
                <w:b w:val="0"/>
                <w:bCs w:val="0"/>
                <w:kern w:val="0"/>
                <w:sz w:val="21"/>
                <w:szCs w:val="21"/>
                <w:vertAlign w:val="subscript"/>
                <w:lang w:bidi="ar"/>
              </w:rPr>
              <w:t>2</w:t>
            </w:r>
            <w:r>
              <w:rPr>
                <w:rFonts w:hint="eastAsia" w:ascii="仿宋_GB2312" w:hAnsi="仿宋_GB2312" w:eastAsia="仿宋_GB2312" w:cs="仿宋_GB2312"/>
                <w:b w:val="0"/>
                <w:bCs w:val="0"/>
                <w:kern w:val="0"/>
                <w:sz w:val="21"/>
                <w:szCs w:val="21"/>
                <w:lang w:bidi="ar"/>
              </w:rPr>
              <w:t>≥99.9%</w:t>
            </w:r>
          </w:p>
        </w:tc>
        <w:tc>
          <w:tcPr>
            <w:tcW w:w="645" w:type="dxa"/>
            <w:shd w:val="clear" w:color="auto" w:fill="auto"/>
            <w:noWrap w:val="0"/>
            <w:vAlign w:val="center"/>
          </w:tcPr>
          <w:p w14:paraId="6ACC8184">
            <w:pPr>
              <w:widowControl/>
              <w:jc w:val="center"/>
              <w:textAlignment w:val="center"/>
              <w:rPr>
                <w:rFonts w:hint="eastAsia" w:ascii="仿宋_GB2312" w:hAnsi="仿宋_GB2312" w:eastAsia="仿宋_GB2312" w:cs="仿宋_GB2312"/>
                <w:b w:val="0"/>
                <w:bCs w:val="0"/>
                <w:snapToGrid w:val="0"/>
                <w:color w:val="000000"/>
                <w:kern w:val="0"/>
                <w:sz w:val="21"/>
                <w:szCs w:val="21"/>
                <w:lang w:val="en-US" w:eastAsia="en-US" w:bidi="ar-SA"/>
              </w:rPr>
            </w:pPr>
            <w:r>
              <w:rPr>
                <w:rFonts w:hint="eastAsia" w:ascii="仿宋_GB2312" w:hAnsi="仿宋_GB2312" w:eastAsia="仿宋_GB2312" w:cs="仿宋_GB2312"/>
                <w:b w:val="0"/>
                <w:bCs w:val="0"/>
                <w:kern w:val="0"/>
                <w:sz w:val="21"/>
                <w:szCs w:val="21"/>
                <w:lang w:bidi="ar"/>
              </w:rPr>
              <w:t>瓶</w:t>
            </w:r>
          </w:p>
        </w:tc>
        <w:tc>
          <w:tcPr>
            <w:tcW w:w="1200" w:type="dxa"/>
            <w:shd w:val="clear" w:color="auto" w:fill="FFFFFF"/>
            <w:noWrap w:val="0"/>
            <w:vAlign w:val="center"/>
          </w:tcPr>
          <w:p w14:paraId="1D8138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0403949D">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2AAA6D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5DC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606" w:type="dxa"/>
            <w:shd w:val="clear" w:color="auto" w:fill="auto"/>
            <w:noWrap w:val="0"/>
            <w:vAlign w:val="center"/>
          </w:tcPr>
          <w:p w14:paraId="0ADA91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17</w:t>
            </w:r>
          </w:p>
        </w:tc>
        <w:tc>
          <w:tcPr>
            <w:tcW w:w="1545" w:type="dxa"/>
            <w:shd w:val="clear" w:color="auto" w:fill="auto"/>
            <w:noWrap w:val="0"/>
            <w:vAlign w:val="center"/>
          </w:tcPr>
          <w:p w14:paraId="75C0A0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氦气</w:t>
            </w:r>
          </w:p>
        </w:tc>
        <w:tc>
          <w:tcPr>
            <w:tcW w:w="2040" w:type="dxa"/>
            <w:shd w:val="clear" w:color="auto" w:fill="auto"/>
            <w:noWrap w:val="0"/>
            <w:vAlign w:val="center"/>
          </w:tcPr>
          <w:p w14:paraId="06CF69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15L以下</w:t>
            </w:r>
          </w:p>
        </w:tc>
        <w:tc>
          <w:tcPr>
            <w:tcW w:w="1575" w:type="dxa"/>
            <w:shd w:val="clear" w:color="auto" w:fill="auto"/>
            <w:noWrap w:val="0"/>
            <w:vAlign w:val="center"/>
          </w:tcPr>
          <w:p w14:paraId="742CF4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He≥99.99%</w:t>
            </w:r>
          </w:p>
        </w:tc>
        <w:tc>
          <w:tcPr>
            <w:tcW w:w="645" w:type="dxa"/>
            <w:shd w:val="clear" w:color="auto" w:fill="auto"/>
            <w:noWrap w:val="0"/>
            <w:vAlign w:val="center"/>
          </w:tcPr>
          <w:p w14:paraId="668D30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4E92EB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10</w:t>
            </w:r>
          </w:p>
        </w:tc>
        <w:tc>
          <w:tcPr>
            <w:tcW w:w="1035" w:type="dxa"/>
            <w:shd w:val="clear" w:color="auto" w:fill="FFFFFF"/>
            <w:noWrap w:val="0"/>
            <w:vAlign w:val="center"/>
          </w:tcPr>
          <w:p w14:paraId="35E38DB4">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1EAC42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65EC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527574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18</w:t>
            </w:r>
          </w:p>
        </w:tc>
        <w:tc>
          <w:tcPr>
            <w:tcW w:w="1545" w:type="dxa"/>
            <w:shd w:val="clear" w:color="auto" w:fill="auto"/>
            <w:noWrap w:val="0"/>
            <w:vAlign w:val="center"/>
          </w:tcPr>
          <w:p w14:paraId="0D3EC0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标准气</w:t>
            </w:r>
          </w:p>
        </w:tc>
        <w:tc>
          <w:tcPr>
            <w:tcW w:w="2040" w:type="dxa"/>
            <w:shd w:val="clear" w:color="auto" w:fill="auto"/>
            <w:noWrap w:val="0"/>
            <w:vAlign w:val="center"/>
          </w:tcPr>
          <w:p w14:paraId="77E830B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8L（笑气混合、胸外）</w:t>
            </w:r>
          </w:p>
        </w:tc>
        <w:tc>
          <w:tcPr>
            <w:tcW w:w="1575" w:type="dxa"/>
            <w:shd w:val="clear" w:color="auto" w:fill="auto"/>
            <w:noWrap w:val="0"/>
            <w:vAlign w:val="center"/>
          </w:tcPr>
          <w:p w14:paraId="40D5A5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O≥99.9%</w:t>
            </w:r>
          </w:p>
        </w:tc>
        <w:tc>
          <w:tcPr>
            <w:tcW w:w="645" w:type="dxa"/>
            <w:shd w:val="clear" w:color="auto" w:fill="auto"/>
            <w:noWrap w:val="0"/>
            <w:vAlign w:val="center"/>
          </w:tcPr>
          <w:p w14:paraId="691546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5F3F57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0F9ACC10">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553F4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F5C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4871DC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19</w:t>
            </w:r>
          </w:p>
        </w:tc>
        <w:tc>
          <w:tcPr>
            <w:tcW w:w="1545" w:type="dxa"/>
            <w:shd w:val="clear" w:color="auto" w:fill="auto"/>
            <w:noWrap w:val="0"/>
            <w:vAlign w:val="center"/>
          </w:tcPr>
          <w:p w14:paraId="42554D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高纯氩气</w:t>
            </w:r>
          </w:p>
        </w:tc>
        <w:tc>
          <w:tcPr>
            <w:tcW w:w="2040" w:type="dxa"/>
            <w:shd w:val="clear" w:color="auto" w:fill="auto"/>
            <w:noWrap w:val="0"/>
            <w:vAlign w:val="center"/>
          </w:tcPr>
          <w:p w14:paraId="6AAA97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60C192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Ar≥99.99%</w:t>
            </w:r>
          </w:p>
        </w:tc>
        <w:tc>
          <w:tcPr>
            <w:tcW w:w="645" w:type="dxa"/>
            <w:shd w:val="clear" w:color="auto" w:fill="auto"/>
            <w:noWrap w:val="0"/>
            <w:vAlign w:val="center"/>
          </w:tcPr>
          <w:p w14:paraId="371EDA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533A72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373012DE">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32DEA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4C1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4B3153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20</w:t>
            </w:r>
          </w:p>
        </w:tc>
        <w:tc>
          <w:tcPr>
            <w:tcW w:w="1545" w:type="dxa"/>
            <w:shd w:val="clear" w:color="auto" w:fill="auto"/>
            <w:noWrap w:val="0"/>
            <w:vAlign w:val="center"/>
          </w:tcPr>
          <w:p w14:paraId="2F88D8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高纯氩气</w:t>
            </w:r>
          </w:p>
        </w:tc>
        <w:tc>
          <w:tcPr>
            <w:tcW w:w="2040" w:type="dxa"/>
            <w:shd w:val="clear" w:color="auto" w:fill="auto"/>
            <w:noWrap w:val="0"/>
            <w:vAlign w:val="center"/>
          </w:tcPr>
          <w:p w14:paraId="3D3615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10L-20L</w:t>
            </w:r>
          </w:p>
        </w:tc>
        <w:tc>
          <w:tcPr>
            <w:tcW w:w="1575" w:type="dxa"/>
            <w:shd w:val="clear" w:color="auto" w:fill="auto"/>
            <w:noWrap w:val="0"/>
            <w:vAlign w:val="center"/>
          </w:tcPr>
          <w:p w14:paraId="53C604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Ar≥99.99%</w:t>
            </w:r>
          </w:p>
        </w:tc>
        <w:tc>
          <w:tcPr>
            <w:tcW w:w="645" w:type="dxa"/>
            <w:shd w:val="clear" w:color="auto" w:fill="auto"/>
            <w:noWrap w:val="0"/>
            <w:vAlign w:val="center"/>
          </w:tcPr>
          <w:p w14:paraId="049501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4E521F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6E5E94F8">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3DF268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D4CF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606" w:type="dxa"/>
            <w:shd w:val="clear" w:color="auto" w:fill="auto"/>
            <w:noWrap w:val="0"/>
            <w:vAlign w:val="center"/>
          </w:tcPr>
          <w:p w14:paraId="3643FC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21</w:t>
            </w:r>
          </w:p>
        </w:tc>
        <w:tc>
          <w:tcPr>
            <w:tcW w:w="1545" w:type="dxa"/>
            <w:shd w:val="clear" w:color="auto" w:fill="auto"/>
            <w:noWrap w:val="0"/>
            <w:vAlign w:val="center"/>
          </w:tcPr>
          <w:p w14:paraId="1270E9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普通氩气</w:t>
            </w:r>
          </w:p>
        </w:tc>
        <w:tc>
          <w:tcPr>
            <w:tcW w:w="2040" w:type="dxa"/>
            <w:shd w:val="clear" w:color="auto" w:fill="auto"/>
            <w:noWrap w:val="0"/>
            <w:vAlign w:val="center"/>
          </w:tcPr>
          <w:p w14:paraId="63BF8E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24086A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Ar≥99.5%</w:t>
            </w:r>
          </w:p>
        </w:tc>
        <w:tc>
          <w:tcPr>
            <w:tcW w:w="645" w:type="dxa"/>
            <w:shd w:val="clear" w:color="auto" w:fill="auto"/>
            <w:noWrap w:val="0"/>
            <w:vAlign w:val="center"/>
          </w:tcPr>
          <w:p w14:paraId="669985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044581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4C450805">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ACF13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544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606" w:type="dxa"/>
            <w:shd w:val="clear" w:color="auto" w:fill="auto"/>
            <w:noWrap w:val="0"/>
            <w:vAlign w:val="center"/>
          </w:tcPr>
          <w:p w14:paraId="5D470D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22</w:t>
            </w:r>
          </w:p>
        </w:tc>
        <w:tc>
          <w:tcPr>
            <w:tcW w:w="1545" w:type="dxa"/>
            <w:shd w:val="clear" w:color="auto" w:fill="auto"/>
            <w:noWrap w:val="0"/>
            <w:vAlign w:val="center"/>
          </w:tcPr>
          <w:p w14:paraId="29F46A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普通氩气</w:t>
            </w:r>
          </w:p>
        </w:tc>
        <w:tc>
          <w:tcPr>
            <w:tcW w:w="2040" w:type="dxa"/>
            <w:shd w:val="clear" w:color="auto" w:fill="auto"/>
            <w:noWrap w:val="0"/>
            <w:vAlign w:val="center"/>
          </w:tcPr>
          <w:p w14:paraId="6A3067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10-20L</w:t>
            </w:r>
          </w:p>
        </w:tc>
        <w:tc>
          <w:tcPr>
            <w:tcW w:w="1575" w:type="dxa"/>
            <w:shd w:val="clear" w:color="auto" w:fill="auto"/>
            <w:noWrap w:val="0"/>
            <w:vAlign w:val="center"/>
          </w:tcPr>
          <w:p w14:paraId="64FC73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Ar≥99.5%</w:t>
            </w:r>
          </w:p>
        </w:tc>
        <w:tc>
          <w:tcPr>
            <w:tcW w:w="645" w:type="dxa"/>
            <w:shd w:val="clear" w:color="auto" w:fill="auto"/>
            <w:noWrap w:val="0"/>
            <w:vAlign w:val="center"/>
          </w:tcPr>
          <w:p w14:paraId="4738F5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739FA7F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769442BD">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195780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4F99A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606" w:type="dxa"/>
            <w:shd w:val="clear" w:color="auto" w:fill="auto"/>
            <w:noWrap w:val="0"/>
            <w:vAlign w:val="center"/>
          </w:tcPr>
          <w:p w14:paraId="028BCC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snapToGrid w:val="0"/>
                <w:color w:val="auto"/>
                <w:kern w:val="0"/>
                <w:sz w:val="21"/>
                <w:szCs w:val="21"/>
                <w:lang w:val="en-US" w:eastAsia="zh-CN" w:bidi="ar-SA"/>
              </w:rPr>
              <w:t>23</w:t>
            </w:r>
          </w:p>
        </w:tc>
        <w:tc>
          <w:tcPr>
            <w:tcW w:w="1545" w:type="dxa"/>
            <w:shd w:val="clear" w:color="auto" w:fill="auto"/>
            <w:noWrap w:val="0"/>
            <w:vAlign w:val="center"/>
          </w:tcPr>
          <w:p w14:paraId="4AF41A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snapToGrid w:val="0"/>
                <w:color w:val="auto"/>
                <w:kern w:val="0"/>
                <w:sz w:val="21"/>
                <w:szCs w:val="21"/>
                <w:lang w:val="en-US" w:eastAsia="zh-CN" w:bidi="ar-SA"/>
              </w:rPr>
              <w:t>高纯氢气</w:t>
            </w:r>
          </w:p>
        </w:tc>
        <w:tc>
          <w:tcPr>
            <w:tcW w:w="2040" w:type="dxa"/>
            <w:shd w:val="clear" w:color="auto" w:fill="auto"/>
            <w:noWrap w:val="0"/>
            <w:vAlign w:val="center"/>
          </w:tcPr>
          <w:p w14:paraId="0E5B1E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snapToGrid w:val="0"/>
                <w:color w:val="auto"/>
                <w:kern w:val="0"/>
                <w:sz w:val="21"/>
                <w:szCs w:val="21"/>
                <w:lang w:val="en-US" w:eastAsia="zh-CN" w:bidi="ar-SA"/>
              </w:rPr>
              <w:t xml:space="preserve">  40L</w:t>
            </w:r>
          </w:p>
        </w:tc>
        <w:tc>
          <w:tcPr>
            <w:tcW w:w="1575" w:type="dxa"/>
            <w:shd w:val="clear" w:color="auto" w:fill="auto"/>
            <w:noWrap w:val="0"/>
            <w:vAlign w:val="center"/>
          </w:tcPr>
          <w:p w14:paraId="41B194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p>
        </w:tc>
        <w:tc>
          <w:tcPr>
            <w:tcW w:w="645" w:type="dxa"/>
            <w:shd w:val="clear" w:color="auto" w:fill="auto"/>
            <w:noWrap w:val="0"/>
            <w:vAlign w:val="center"/>
          </w:tcPr>
          <w:p w14:paraId="58B9BDD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瓶</w:t>
            </w:r>
          </w:p>
        </w:tc>
        <w:tc>
          <w:tcPr>
            <w:tcW w:w="1200" w:type="dxa"/>
            <w:shd w:val="clear" w:color="auto" w:fill="FFFFFF"/>
            <w:noWrap w:val="0"/>
            <w:vAlign w:val="center"/>
          </w:tcPr>
          <w:p w14:paraId="6E0318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auto"/>
                <w:kern w:val="0"/>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18C55F91">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39F178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4A17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606" w:type="dxa"/>
            <w:shd w:val="clear" w:color="auto" w:fill="auto"/>
            <w:noWrap w:val="0"/>
            <w:vAlign w:val="center"/>
          </w:tcPr>
          <w:p w14:paraId="17B238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24</w:t>
            </w:r>
          </w:p>
        </w:tc>
        <w:tc>
          <w:tcPr>
            <w:tcW w:w="1545" w:type="dxa"/>
            <w:shd w:val="clear" w:color="auto" w:fill="auto"/>
            <w:noWrap w:val="0"/>
            <w:vAlign w:val="center"/>
          </w:tcPr>
          <w:p w14:paraId="0ED3A1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乙炔</w:t>
            </w:r>
          </w:p>
        </w:tc>
        <w:tc>
          <w:tcPr>
            <w:tcW w:w="2040" w:type="dxa"/>
            <w:shd w:val="clear" w:color="auto" w:fill="auto"/>
            <w:noWrap w:val="0"/>
            <w:vAlign w:val="center"/>
          </w:tcPr>
          <w:p w14:paraId="3311BC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7A27E83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H</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≥98%</w:t>
            </w:r>
          </w:p>
        </w:tc>
        <w:tc>
          <w:tcPr>
            <w:tcW w:w="645" w:type="dxa"/>
            <w:shd w:val="clear" w:color="auto" w:fill="auto"/>
            <w:noWrap w:val="0"/>
            <w:vAlign w:val="center"/>
          </w:tcPr>
          <w:p w14:paraId="374FC8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0D9DBE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w:t>
            </w:r>
          </w:p>
        </w:tc>
        <w:tc>
          <w:tcPr>
            <w:tcW w:w="1035" w:type="dxa"/>
            <w:shd w:val="clear" w:color="auto" w:fill="FFFFFF"/>
            <w:noWrap w:val="0"/>
            <w:vAlign w:val="center"/>
          </w:tcPr>
          <w:p w14:paraId="3168B7EF">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68A4A9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50793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606" w:type="dxa"/>
            <w:shd w:val="clear" w:color="auto" w:fill="auto"/>
            <w:noWrap w:val="0"/>
            <w:vAlign w:val="center"/>
          </w:tcPr>
          <w:p w14:paraId="44FE84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25</w:t>
            </w:r>
          </w:p>
        </w:tc>
        <w:tc>
          <w:tcPr>
            <w:tcW w:w="1545" w:type="dxa"/>
            <w:shd w:val="clear" w:color="auto" w:fill="auto"/>
            <w:noWrap w:val="0"/>
            <w:vAlign w:val="center"/>
          </w:tcPr>
          <w:p w14:paraId="64F2C4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高纯乙炔</w:t>
            </w:r>
          </w:p>
        </w:tc>
        <w:tc>
          <w:tcPr>
            <w:tcW w:w="2040" w:type="dxa"/>
            <w:shd w:val="clear" w:color="auto" w:fill="auto"/>
            <w:noWrap w:val="0"/>
            <w:vAlign w:val="center"/>
          </w:tcPr>
          <w:p w14:paraId="16F54C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629E1B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C</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H</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≥99.999%</w:t>
            </w:r>
          </w:p>
        </w:tc>
        <w:tc>
          <w:tcPr>
            <w:tcW w:w="645" w:type="dxa"/>
            <w:shd w:val="clear" w:color="auto" w:fill="auto"/>
            <w:noWrap w:val="0"/>
            <w:vAlign w:val="center"/>
          </w:tcPr>
          <w:p w14:paraId="074B06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1A12771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1035" w:type="dxa"/>
            <w:shd w:val="clear" w:color="auto" w:fill="FFFFFF"/>
            <w:noWrap w:val="0"/>
            <w:vAlign w:val="center"/>
          </w:tcPr>
          <w:p w14:paraId="102FDD0D">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65EC3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2F6D7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jc w:val="center"/>
        </w:trPr>
        <w:tc>
          <w:tcPr>
            <w:tcW w:w="606" w:type="dxa"/>
            <w:shd w:val="clear" w:color="auto" w:fill="auto"/>
            <w:noWrap w:val="0"/>
            <w:vAlign w:val="center"/>
          </w:tcPr>
          <w:p w14:paraId="514559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26</w:t>
            </w:r>
          </w:p>
        </w:tc>
        <w:tc>
          <w:tcPr>
            <w:tcW w:w="1545" w:type="dxa"/>
            <w:shd w:val="clear" w:color="auto" w:fill="auto"/>
            <w:noWrap w:val="0"/>
            <w:vAlign w:val="center"/>
          </w:tcPr>
          <w:p w14:paraId="3436B2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混合气</w:t>
            </w:r>
          </w:p>
        </w:tc>
        <w:tc>
          <w:tcPr>
            <w:tcW w:w="2040" w:type="dxa"/>
            <w:shd w:val="clear" w:color="auto" w:fill="auto"/>
            <w:noWrap w:val="0"/>
            <w:vAlign w:val="center"/>
          </w:tcPr>
          <w:p w14:paraId="4B36F0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2298FB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组份：CH</w:t>
            </w:r>
            <w:r>
              <w:rPr>
                <w:rFonts w:hint="eastAsia" w:ascii="仿宋_GB2312" w:hAnsi="仿宋_GB2312" w:eastAsia="仿宋_GB2312" w:cs="仿宋_GB2312"/>
                <w:kern w:val="0"/>
                <w:sz w:val="24"/>
                <w:szCs w:val="24"/>
                <w:vertAlign w:val="subscript"/>
                <w:lang w:bidi="ar"/>
              </w:rPr>
              <w:t>4</w:t>
            </w:r>
            <w:r>
              <w:rPr>
                <w:rFonts w:hint="eastAsia" w:ascii="仿宋_GB2312" w:hAnsi="仿宋_GB2312" w:eastAsia="仿宋_GB2312" w:cs="仿宋_GB2312"/>
                <w:kern w:val="0"/>
                <w:sz w:val="24"/>
                <w:szCs w:val="24"/>
                <w:lang w:bidi="ar"/>
              </w:rPr>
              <w:t>：0.302%，CO：0.299%’O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：21%，N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：平衡</w:t>
            </w:r>
          </w:p>
        </w:tc>
        <w:tc>
          <w:tcPr>
            <w:tcW w:w="645" w:type="dxa"/>
            <w:shd w:val="clear" w:color="auto" w:fill="auto"/>
            <w:noWrap w:val="0"/>
            <w:vAlign w:val="center"/>
          </w:tcPr>
          <w:p w14:paraId="1D6168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3A0B3A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w:t>
            </w:r>
          </w:p>
        </w:tc>
        <w:tc>
          <w:tcPr>
            <w:tcW w:w="1035" w:type="dxa"/>
            <w:shd w:val="clear" w:color="auto" w:fill="FFFFFF"/>
            <w:noWrap w:val="0"/>
            <w:vAlign w:val="center"/>
          </w:tcPr>
          <w:p w14:paraId="23C1A99C">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079BAF6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A5FF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jc w:val="center"/>
        </w:trPr>
        <w:tc>
          <w:tcPr>
            <w:tcW w:w="606" w:type="dxa"/>
            <w:shd w:val="clear" w:color="auto" w:fill="auto"/>
            <w:noWrap w:val="0"/>
            <w:vAlign w:val="center"/>
          </w:tcPr>
          <w:p w14:paraId="7C1FF9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27</w:t>
            </w:r>
          </w:p>
        </w:tc>
        <w:tc>
          <w:tcPr>
            <w:tcW w:w="1545" w:type="dxa"/>
            <w:shd w:val="clear" w:color="auto" w:fill="auto"/>
            <w:noWrap w:val="0"/>
            <w:vAlign w:val="center"/>
          </w:tcPr>
          <w:p w14:paraId="40D7D8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干燥空气</w:t>
            </w:r>
          </w:p>
        </w:tc>
        <w:tc>
          <w:tcPr>
            <w:tcW w:w="2040" w:type="dxa"/>
            <w:shd w:val="clear" w:color="auto" w:fill="auto"/>
            <w:noWrap w:val="0"/>
            <w:vAlign w:val="center"/>
          </w:tcPr>
          <w:p w14:paraId="32F23D9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40L</w:t>
            </w:r>
          </w:p>
        </w:tc>
        <w:tc>
          <w:tcPr>
            <w:tcW w:w="1575" w:type="dxa"/>
            <w:shd w:val="clear" w:color="auto" w:fill="auto"/>
            <w:noWrap w:val="0"/>
            <w:vAlign w:val="center"/>
          </w:tcPr>
          <w:p w14:paraId="6267D2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kern w:val="0"/>
                <w:sz w:val="24"/>
                <w:szCs w:val="24"/>
                <w:lang w:bidi="ar"/>
              </w:rPr>
              <w:t>主要成份：O</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：21%，N</w:t>
            </w:r>
            <w:r>
              <w:rPr>
                <w:rFonts w:hint="eastAsia" w:ascii="仿宋_GB2312" w:hAnsi="仿宋_GB2312" w:eastAsia="仿宋_GB2312" w:cs="仿宋_GB2312"/>
                <w:kern w:val="0"/>
                <w:sz w:val="24"/>
                <w:szCs w:val="24"/>
                <w:vertAlign w:val="subscript"/>
                <w:lang w:bidi="ar"/>
              </w:rPr>
              <w:t>2</w:t>
            </w:r>
            <w:r>
              <w:rPr>
                <w:rFonts w:hint="eastAsia" w:ascii="仿宋_GB2312" w:hAnsi="仿宋_GB2312" w:eastAsia="仿宋_GB2312" w:cs="仿宋_GB2312"/>
                <w:kern w:val="0"/>
                <w:sz w:val="24"/>
                <w:szCs w:val="24"/>
                <w:lang w:bidi="ar"/>
              </w:rPr>
              <w:t>：78%</w:t>
            </w:r>
          </w:p>
        </w:tc>
        <w:tc>
          <w:tcPr>
            <w:tcW w:w="645" w:type="dxa"/>
            <w:shd w:val="clear" w:color="auto" w:fill="auto"/>
            <w:noWrap w:val="0"/>
            <w:vAlign w:val="center"/>
          </w:tcPr>
          <w:p w14:paraId="5CE571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268F21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7FED1DBF">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4E3B3D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290F3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606" w:type="dxa"/>
            <w:shd w:val="clear" w:color="auto" w:fill="auto"/>
            <w:noWrap w:val="0"/>
            <w:vAlign w:val="center"/>
          </w:tcPr>
          <w:p w14:paraId="3B36F91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28</w:t>
            </w:r>
          </w:p>
        </w:tc>
        <w:tc>
          <w:tcPr>
            <w:tcW w:w="1545" w:type="dxa"/>
            <w:shd w:val="clear" w:color="auto" w:fill="auto"/>
            <w:noWrap w:val="0"/>
            <w:vAlign w:val="center"/>
          </w:tcPr>
          <w:p w14:paraId="68A84F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气瓶试压、清洗</w:t>
            </w:r>
          </w:p>
        </w:tc>
        <w:tc>
          <w:tcPr>
            <w:tcW w:w="2040" w:type="dxa"/>
            <w:shd w:val="clear" w:color="auto" w:fill="auto"/>
            <w:noWrap w:val="0"/>
            <w:vAlign w:val="center"/>
          </w:tcPr>
          <w:p w14:paraId="53D7A8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3L-40L</w:t>
            </w:r>
          </w:p>
        </w:tc>
        <w:tc>
          <w:tcPr>
            <w:tcW w:w="1575" w:type="dxa"/>
            <w:shd w:val="clear" w:color="auto" w:fill="auto"/>
            <w:noWrap w:val="0"/>
            <w:vAlign w:val="center"/>
          </w:tcPr>
          <w:p w14:paraId="2938BD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645" w:type="dxa"/>
            <w:shd w:val="clear" w:color="auto" w:fill="auto"/>
            <w:noWrap w:val="0"/>
            <w:vAlign w:val="center"/>
          </w:tcPr>
          <w:p w14:paraId="2942C6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56A7C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20</w:t>
            </w:r>
          </w:p>
        </w:tc>
        <w:tc>
          <w:tcPr>
            <w:tcW w:w="1035" w:type="dxa"/>
            <w:shd w:val="clear" w:color="auto" w:fill="FFFFFF"/>
            <w:noWrap w:val="0"/>
            <w:vAlign w:val="center"/>
          </w:tcPr>
          <w:p w14:paraId="2E47D18A">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3F223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FE69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4" w:hRule="atLeast"/>
          <w:jc w:val="center"/>
        </w:trPr>
        <w:tc>
          <w:tcPr>
            <w:tcW w:w="606" w:type="dxa"/>
            <w:shd w:val="clear" w:color="auto" w:fill="auto"/>
            <w:noWrap w:val="0"/>
            <w:vAlign w:val="center"/>
          </w:tcPr>
          <w:p w14:paraId="150D27C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29</w:t>
            </w:r>
          </w:p>
        </w:tc>
        <w:tc>
          <w:tcPr>
            <w:tcW w:w="1545" w:type="dxa"/>
            <w:shd w:val="clear" w:color="auto" w:fill="auto"/>
            <w:noWrap w:val="0"/>
            <w:vAlign w:val="center"/>
          </w:tcPr>
          <w:p w14:paraId="2DECF1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气瓶试压</w:t>
            </w:r>
          </w:p>
        </w:tc>
        <w:tc>
          <w:tcPr>
            <w:tcW w:w="2040" w:type="dxa"/>
            <w:shd w:val="clear" w:color="auto" w:fill="auto"/>
            <w:noWrap w:val="0"/>
            <w:vAlign w:val="center"/>
          </w:tcPr>
          <w:p w14:paraId="049357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3L-40L</w:t>
            </w:r>
          </w:p>
        </w:tc>
        <w:tc>
          <w:tcPr>
            <w:tcW w:w="1575" w:type="dxa"/>
            <w:shd w:val="clear" w:color="auto" w:fill="auto"/>
            <w:noWrap w:val="0"/>
            <w:vAlign w:val="center"/>
          </w:tcPr>
          <w:p w14:paraId="5EC634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645" w:type="dxa"/>
            <w:shd w:val="clear" w:color="auto" w:fill="auto"/>
            <w:noWrap w:val="0"/>
            <w:vAlign w:val="center"/>
          </w:tcPr>
          <w:p w14:paraId="56F955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316791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20</w:t>
            </w:r>
          </w:p>
        </w:tc>
        <w:tc>
          <w:tcPr>
            <w:tcW w:w="1035" w:type="dxa"/>
            <w:shd w:val="clear" w:color="auto" w:fill="FFFFFF"/>
            <w:noWrap w:val="0"/>
            <w:vAlign w:val="center"/>
          </w:tcPr>
          <w:p w14:paraId="7BC2CB28">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27A91F9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223B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606" w:type="dxa"/>
            <w:shd w:val="clear" w:color="auto" w:fill="auto"/>
            <w:noWrap w:val="0"/>
            <w:vAlign w:val="center"/>
          </w:tcPr>
          <w:p w14:paraId="62901B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30</w:t>
            </w:r>
          </w:p>
        </w:tc>
        <w:tc>
          <w:tcPr>
            <w:tcW w:w="1545" w:type="dxa"/>
            <w:shd w:val="clear" w:color="auto" w:fill="auto"/>
            <w:noWrap w:val="0"/>
            <w:vAlign w:val="center"/>
          </w:tcPr>
          <w:p w14:paraId="7946D2A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气瓶清洗</w:t>
            </w:r>
          </w:p>
        </w:tc>
        <w:tc>
          <w:tcPr>
            <w:tcW w:w="2040" w:type="dxa"/>
            <w:shd w:val="clear" w:color="auto" w:fill="auto"/>
            <w:noWrap w:val="0"/>
            <w:vAlign w:val="center"/>
          </w:tcPr>
          <w:p w14:paraId="1ED7B9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3L-40L</w:t>
            </w:r>
          </w:p>
        </w:tc>
        <w:tc>
          <w:tcPr>
            <w:tcW w:w="1575" w:type="dxa"/>
            <w:shd w:val="clear" w:color="auto" w:fill="auto"/>
            <w:noWrap w:val="0"/>
            <w:vAlign w:val="center"/>
          </w:tcPr>
          <w:p w14:paraId="63AFAE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645" w:type="dxa"/>
            <w:shd w:val="clear" w:color="auto" w:fill="auto"/>
            <w:noWrap w:val="0"/>
            <w:vAlign w:val="center"/>
          </w:tcPr>
          <w:p w14:paraId="34C301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6C9E1F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3D621F26">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5D14B7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0A5A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606" w:type="dxa"/>
            <w:shd w:val="clear" w:color="auto" w:fill="auto"/>
            <w:noWrap w:val="0"/>
            <w:vAlign w:val="center"/>
          </w:tcPr>
          <w:p w14:paraId="106F6F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31</w:t>
            </w:r>
          </w:p>
        </w:tc>
        <w:tc>
          <w:tcPr>
            <w:tcW w:w="1545" w:type="dxa"/>
            <w:shd w:val="clear" w:color="auto" w:fill="auto"/>
            <w:noWrap w:val="0"/>
            <w:vAlign w:val="center"/>
          </w:tcPr>
          <w:p w14:paraId="23CB68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气瓶除锈、油漆</w:t>
            </w:r>
          </w:p>
        </w:tc>
        <w:tc>
          <w:tcPr>
            <w:tcW w:w="2040" w:type="dxa"/>
            <w:shd w:val="clear" w:color="auto" w:fill="auto"/>
            <w:noWrap w:val="0"/>
            <w:vAlign w:val="center"/>
          </w:tcPr>
          <w:p w14:paraId="05A500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3L-40L</w:t>
            </w:r>
          </w:p>
        </w:tc>
        <w:tc>
          <w:tcPr>
            <w:tcW w:w="1575" w:type="dxa"/>
            <w:shd w:val="clear" w:color="auto" w:fill="auto"/>
            <w:noWrap w:val="0"/>
            <w:vAlign w:val="center"/>
          </w:tcPr>
          <w:p w14:paraId="4DF708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645" w:type="dxa"/>
            <w:shd w:val="clear" w:color="auto" w:fill="auto"/>
            <w:noWrap w:val="0"/>
            <w:vAlign w:val="center"/>
          </w:tcPr>
          <w:p w14:paraId="2335CA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瓶</w:t>
            </w:r>
          </w:p>
        </w:tc>
        <w:tc>
          <w:tcPr>
            <w:tcW w:w="1200" w:type="dxa"/>
            <w:shd w:val="clear" w:color="auto" w:fill="FFFFFF"/>
            <w:noWrap w:val="0"/>
            <w:vAlign w:val="center"/>
          </w:tcPr>
          <w:p w14:paraId="7246A26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w:t>
            </w:r>
          </w:p>
        </w:tc>
        <w:tc>
          <w:tcPr>
            <w:tcW w:w="1035" w:type="dxa"/>
            <w:shd w:val="clear" w:color="auto" w:fill="FFFFFF"/>
            <w:noWrap w:val="0"/>
            <w:vAlign w:val="center"/>
          </w:tcPr>
          <w:p w14:paraId="7D514D20">
            <w:pPr>
              <w:jc w:val="center"/>
              <w:rPr>
                <w:rFonts w:hint="eastAsia" w:ascii="仿宋_GB2312" w:hAnsi="仿宋_GB2312" w:eastAsia="仿宋_GB2312" w:cs="仿宋_GB2312"/>
                <w:b w:val="0"/>
                <w:bCs w:val="0"/>
                <w:snapToGrid w:val="0"/>
                <w:color w:val="000000"/>
                <w:kern w:val="2"/>
                <w:sz w:val="21"/>
                <w:szCs w:val="21"/>
                <w:lang w:val="en-US" w:eastAsia="zh-CN" w:bidi="ar-SA"/>
              </w:rPr>
            </w:pPr>
          </w:p>
        </w:tc>
        <w:tc>
          <w:tcPr>
            <w:tcW w:w="1085" w:type="dxa"/>
            <w:shd w:val="clear" w:color="auto" w:fill="FFFFFF"/>
            <w:noWrap w:val="0"/>
            <w:vAlign w:val="center"/>
          </w:tcPr>
          <w:p w14:paraId="38103B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0406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jc w:val="center"/>
        </w:trPr>
        <w:tc>
          <w:tcPr>
            <w:tcW w:w="606" w:type="dxa"/>
            <w:shd w:val="clear" w:color="auto" w:fill="auto"/>
            <w:noWrap w:val="0"/>
            <w:vAlign w:val="center"/>
          </w:tcPr>
          <w:p w14:paraId="7529B5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32</w:t>
            </w:r>
          </w:p>
        </w:tc>
        <w:tc>
          <w:tcPr>
            <w:tcW w:w="1545" w:type="dxa"/>
            <w:shd w:val="clear" w:color="auto" w:fill="auto"/>
            <w:noWrap w:val="0"/>
            <w:vAlign w:val="center"/>
          </w:tcPr>
          <w:p w14:paraId="7F15BBD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氧气瓶阀总阀</w:t>
            </w:r>
          </w:p>
        </w:tc>
        <w:tc>
          <w:tcPr>
            <w:tcW w:w="2040" w:type="dxa"/>
            <w:shd w:val="clear" w:color="auto" w:fill="auto"/>
            <w:noWrap w:val="0"/>
            <w:vAlign w:val="center"/>
          </w:tcPr>
          <w:p w14:paraId="5EB23E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QF-2</w:t>
            </w:r>
          </w:p>
        </w:tc>
        <w:tc>
          <w:tcPr>
            <w:tcW w:w="1575" w:type="dxa"/>
            <w:shd w:val="clear" w:color="auto" w:fill="auto"/>
            <w:noWrap w:val="0"/>
            <w:vAlign w:val="center"/>
          </w:tcPr>
          <w:p w14:paraId="64B64AD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rPr>
            </w:pPr>
          </w:p>
        </w:tc>
        <w:tc>
          <w:tcPr>
            <w:tcW w:w="645" w:type="dxa"/>
            <w:shd w:val="clear" w:color="auto" w:fill="auto"/>
            <w:noWrap w:val="0"/>
            <w:vAlign w:val="center"/>
          </w:tcPr>
          <w:p w14:paraId="6A26B2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只</w:t>
            </w:r>
          </w:p>
        </w:tc>
        <w:tc>
          <w:tcPr>
            <w:tcW w:w="1200" w:type="dxa"/>
            <w:shd w:val="clear" w:color="auto" w:fill="FFFFFF"/>
            <w:noWrap w:val="0"/>
            <w:vAlign w:val="center"/>
          </w:tcPr>
          <w:p w14:paraId="02379D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035" w:type="dxa"/>
            <w:shd w:val="clear" w:color="auto" w:fill="FFFFFF"/>
            <w:noWrap w:val="0"/>
            <w:vAlign w:val="center"/>
          </w:tcPr>
          <w:p w14:paraId="6AE4751B">
            <w:pPr>
              <w:spacing w:line="360" w:lineRule="exact"/>
              <w:jc w:val="center"/>
              <w:rPr>
                <w:rFonts w:hint="eastAsia" w:ascii="仿宋_GB2312" w:hAnsi="仿宋_GB2312" w:eastAsia="仿宋_GB2312" w:cs="仿宋_GB2312"/>
                <w:b w:val="0"/>
                <w:bCs w:val="0"/>
                <w:snapToGrid w:val="0"/>
                <w:color w:val="auto"/>
                <w:kern w:val="0"/>
                <w:sz w:val="21"/>
                <w:szCs w:val="21"/>
                <w:lang w:val="en-US" w:eastAsia="zh-CN" w:bidi="ar-SA"/>
              </w:rPr>
            </w:pPr>
          </w:p>
        </w:tc>
        <w:tc>
          <w:tcPr>
            <w:tcW w:w="1085" w:type="dxa"/>
            <w:shd w:val="clear" w:color="auto" w:fill="FFFFFF"/>
            <w:noWrap w:val="0"/>
            <w:vAlign w:val="center"/>
          </w:tcPr>
          <w:p w14:paraId="64253F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997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jc w:val="center"/>
        </w:trPr>
        <w:tc>
          <w:tcPr>
            <w:tcW w:w="606" w:type="dxa"/>
            <w:shd w:val="clear" w:color="auto" w:fill="auto"/>
            <w:noWrap w:val="0"/>
            <w:vAlign w:val="center"/>
          </w:tcPr>
          <w:p w14:paraId="32F6A2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33</w:t>
            </w:r>
          </w:p>
        </w:tc>
        <w:tc>
          <w:tcPr>
            <w:tcW w:w="1545" w:type="dxa"/>
            <w:shd w:val="clear" w:color="auto" w:fill="auto"/>
            <w:noWrap w:val="0"/>
            <w:vAlign w:val="center"/>
          </w:tcPr>
          <w:p w14:paraId="69334F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rPr>
              <w:t>搬运费</w:t>
            </w:r>
          </w:p>
        </w:tc>
        <w:tc>
          <w:tcPr>
            <w:tcW w:w="2040" w:type="dxa"/>
            <w:shd w:val="clear" w:color="auto" w:fill="auto"/>
            <w:noWrap w:val="0"/>
            <w:vAlign w:val="center"/>
          </w:tcPr>
          <w:p w14:paraId="1D3965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rPr>
              <w:t>液氮杜瓦罐</w:t>
            </w:r>
          </w:p>
        </w:tc>
        <w:tc>
          <w:tcPr>
            <w:tcW w:w="1575" w:type="dxa"/>
            <w:shd w:val="clear" w:color="auto" w:fill="auto"/>
            <w:noWrap w:val="0"/>
            <w:vAlign w:val="center"/>
          </w:tcPr>
          <w:p w14:paraId="2FAA1D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rPr>
            </w:pPr>
          </w:p>
        </w:tc>
        <w:tc>
          <w:tcPr>
            <w:tcW w:w="645" w:type="dxa"/>
            <w:shd w:val="clear" w:color="auto" w:fill="auto"/>
            <w:noWrap w:val="0"/>
            <w:vAlign w:val="center"/>
          </w:tcPr>
          <w:p w14:paraId="5664F6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rPr>
              <w:t>次</w:t>
            </w:r>
          </w:p>
        </w:tc>
        <w:tc>
          <w:tcPr>
            <w:tcW w:w="1200" w:type="dxa"/>
            <w:shd w:val="clear" w:color="auto" w:fill="FFFFFF"/>
            <w:noWrap w:val="0"/>
            <w:vAlign w:val="center"/>
          </w:tcPr>
          <w:p w14:paraId="6A647E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p>
        </w:tc>
        <w:tc>
          <w:tcPr>
            <w:tcW w:w="1035" w:type="dxa"/>
            <w:shd w:val="clear" w:color="auto" w:fill="FFFFFF"/>
            <w:noWrap w:val="0"/>
            <w:vAlign w:val="center"/>
          </w:tcPr>
          <w:p w14:paraId="4022F166">
            <w:pPr>
              <w:spacing w:line="360" w:lineRule="exact"/>
              <w:jc w:val="center"/>
              <w:rPr>
                <w:rFonts w:hint="eastAsia" w:ascii="仿宋_GB2312" w:hAnsi="仿宋_GB2312" w:eastAsia="仿宋_GB2312" w:cs="仿宋_GB2312"/>
                <w:b w:val="0"/>
                <w:bCs w:val="0"/>
                <w:snapToGrid w:val="0"/>
                <w:color w:val="auto"/>
                <w:kern w:val="0"/>
                <w:sz w:val="21"/>
                <w:szCs w:val="21"/>
                <w:lang w:val="en-US" w:eastAsia="zh-CN" w:bidi="ar-SA"/>
              </w:rPr>
            </w:pPr>
          </w:p>
        </w:tc>
        <w:tc>
          <w:tcPr>
            <w:tcW w:w="1085" w:type="dxa"/>
            <w:shd w:val="clear" w:color="auto" w:fill="FFFFFF"/>
            <w:noWrap w:val="0"/>
            <w:vAlign w:val="center"/>
          </w:tcPr>
          <w:p w14:paraId="79D5C19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r w14:paraId="31D29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jc w:val="center"/>
        </w:trPr>
        <w:tc>
          <w:tcPr>
            <w:tcW w:w="7611" w:type="dxa"/>
            <w:gridSpan w:val="6"/>
            <w:shd w:val="clear" w:color="auto" w:fill="auto"/>
            <w:noWrap w:val="0"/>
            <w:vAlign w:val="center"/>
          </w:tcPr>
          <w:p w14:paraId="41FB60A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合计</w:t>
            </w:r>
          </w:p>
        </w:tc>
        <w:tc>
          <w:tcPr>
            <w:tcW w:w="1035" w:type="dxa"/>
            <w:shd w:val="clear" w:color="auto" w:fill="FFFFFF"/>
            <w:noWrap w:val="0"/>
            <w:vAlign w:val="center"/>
          </w:tcPr>
          <w:p w14:paraId="0F5DDA1B">
            <w:pPr>
              <w:spacing w:line="360" w:lineRule="exact"/>
              <w:jc w:val="center"/>
              <w:rPr>
                <w:rFonts w:hint="eastAsia" w:ascii="仿宋_GB2312" w:hAnsi="仿宋_GB2312" w:eastAsia="仿宋_GB2312" w:cs="仿宋_GB2312"/>
                <w:b w:val="0"/>
                <w:bCs w:val="0"/>
                <w:snapToGrid w:val="0"/>
                <w:color w:val="auto"/>
                <w:kern w:val="0"/>
                <w:sz w:val="21"/>
                <w:szCs w:val="21"/>
                <w:lang w:val="en-US" w:eastAsia="zh-CN" w:bidi="ar-SA"/>
              </w:rPr>
            </w:pPr>
          </w:p>
        </w:tc>
        <w:tc>
          <w:tcPr>
            <w:tcW w:w="1085" w:type="dxa"/>
            <w:shd w:val="clear" w:color="auto" w:fill="FFFFFF"/>
            <w:noWrap w:val="0"/>
            <w:vAlign w:val="center"/>
          </w:tcPr>
          <w:p w14:paraId="44AB46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auto"/>
                <w:sz w:val="21"/>
                <w:szCs w:val="21"/>
                <w:lang w:val="en-US" w:eastAsia="zh-CN"/>
              </w:rPr>
            </w:pPr>
          </w:p>
        </w:tc>
      </w:tr>
    </w:tbl>
    <w:p w14:paraId="6ED43F96">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b/>
          <w:bCs/>
          <w:sz w:val="32"/>
          <w:szCs w:val="32"/>
          <w:lang w:val="en-US" w:eastAsia="zh-CN"/>
        </w:rPr>
      </w:pPr>
    </w:p>
    <w:p w14:paraId="11EF3D7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三、医用氧质量标准</w:t>
      </w:r>
    </w:p>
    <w:p w14:paraId="4C6B38F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1.按《中国药典》2020年版二部“氧”、《药品生产质量管理规范》2010年的标准执行，如合同履行期间有新标准按新标准执行。</w:t>
      </w:r>
    </w:p>
    <w:p w14:paraId="1CD0CBE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2.医用氧性状为无色气体：无臭、无味。</w:t>
      </w:r>
    </w:p>
    <w:p w14:paraId="108B27F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3.配送的医用氧纯度≥99.5%（根据铜氨吸收法或顺磁式氧分析仪检测）、一氧化碳含量≤0.0005%；二氧化碳含量≤0.03%；水分含量≤0.0067%，要符合《中国药典》2020版二部氧质量要求。</w:t>
      </w:r>
    </w:p>
    <w:p w14:paraId="5547000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4.产品有效期1年。</w:t>
      </w:r>
    </w:p>
    <w:p w14:paraId="3DD46D7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四、医用氧专用设备要求</w:t>
      </w:r>
    </w:p>
    <w:p w14:paraId="450A40D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（一）合同供氧期间，响应供应商负责提供医用氧专用设备供医院方使用，投入有全套设备及施工，并负责该设备的日常维护、检验，保持有效使用，不再收取任何费用。</w:t>
      </w:r>
    </w:p>
    <w:p w14:paraId="00F7DC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sz w:val="32"/>
          <w:szCs w:val="32"/>
          <w:lang w:val="en-US" w:eastAsia="zh-CN"/>
        </w:rPr>
        <w:t>响应供应商成交后在合同期内须为医院提供以下设备</w:t>
      </w:r>
      <w:r>
        <w:rPr>
          <w:rFonts w:hint="eastAsia" w:ascii="仿宋_GB2312" w:hAnsi="仿宋_GB2312" w:eastAsia="仿宋_GB2312" w:cs="仿宋_GB2312"/>
          <w:color w:val="auto"/>
          <w:kern w:val="0"/>
          <w:sz w:val="32"/>
          <w:szCs w:val="32"/>
          <w:highlight w:val="none"/>
        </w:rPr>
        <w:t>供医院使用</w:t>
      </w:r>
      <w:r>
        <w:rPr>
          <w:rFonts w:hint="eastAsia" w:ascii="仿宋_GB2312" w:hAnsi="仿宋_GB2312" w:eastAsia="仿宋_GB2312" w:cs="仿宋_GB2312"/>
          <w:color w:val="auto"/>
          <w:kern w:val="0"/>
          <w:sz w:val="32"/>
          <w:szCs w:val="32"/>
          <w:highlight w:val="none"/>
          <w:lang w:eastAsia="zh-CN"/>
        </w:rPr>
        <w:t>：</w:t>
      </w:r>
    </w:p>
    <w:p w14:paraId="4769F9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spacing w:val="0"/>
          <w:kern w:val="2"/>
          <w:sz w:val="32"/>
          <w:szCs w:val="32"/>
          <w:highlight w:val="none"/>
          <w:lang w:val="en-US" w:eastAsia="zh-CN" w:bidi="ar-SA"/>
        </w:rPr>
        <w:t>响应供应商须向医院方免费提供液氧储罐及配套设施，</w:t>
      </w:r>
      <w:r>
        <w:rPr>
          <w:rFonts w:hint="eastAsia" w:ascii="仿宋_GB2312" w:hAnsi="仿宋_GB2312" w:eastAsia="仿宋_GB2312" w:cs="仿宋_GB2312"/>
          <w:color w:val="auto"/>
          <w:kern w:val="0"/>
          <w:sz w:val="32"/>
          <w:szCs w:val="32"/>
          <w:highlight w:val="none"/>
        </w:rPr>
        <w:t>按照</w:t>
      </w:r>
      <w:r>
        <w:rPr>
          <w:rFonts w:hint="eastAsia" w:ascii="仿宋_GB2312" w:hAnsi="仿宋_GB2312" w:eastAsia="仿宋_GB2312" w:cs="仿宋_GB2312"/>
          <w:color w:val="auto"/>
          <w:kern w:val="0"/>
          <w:sz w:val="32"/>
          <w:szCs w:val="32"/>
          <w:highlight w:val="none"/>
          <w:lang w:eastAsia="zh-CN"/>
        </w:rPr>
        <w:t>医院方</w:t>
      </w:r>
      <w:r>
        <w:rPr>
          <w:rFonts w:hint="eastAsia" w:ascii="仿宋_GB2312" w:hAnsi="仿宋_GB2312" w:eastAsia="仿宋_GB2312" w:cs="仿宋_GB2312"/>
          <w:color w:val="auto"/>
          <w:kern w:val="0"/>
          <w:sz w:val="32"/>
          <w:szCs w:val="32"/>
          <w:highlight w:val="none"/>
        </w:rPr>
        <w:t>的安全运行储量要求</w:t>
      </w:r>
      <w:r>
        <w:rPr>
          <w:rFonts w:hint="eastAsia" w:ascii="仿宋_GB2312" w:hAnsi="仿宋_GB2312" w:eastAsia="仿宋_GB2312" w:cs="仿宋_GB2312"/>
          <w:b w:val="0"/>
          <w:bCs w:val="0"/>
          <w:color w:val="auto"/>
          <w:kern w:val="0"/>
          <w:sz w:val="32"/>
          <w:szCs w:val="32"/>
          <w:highlight w:val="none"/>
        </w:rPr>
        <w:t>达</w:t>
      </w:r>
      <w:r>
        <w:rPr>
          <w:rFonts w:hint="eastAsia" w:ascii="仿宋_GB2312" w:hAnsi="仿宋_GB2312" w:eastAsia="仿宋_GB2312" w:cs="仿宋_GB2312"/>
          <w:b/>
          <w:bCs/>
          <w:color w:val="auto"/>
          <w:kern w:val="0"/>
          <w:sz w:val="32"/>
          <w:szCs w:val="32"/>
          <w:highlight w:val="none"/>
          <w:lang w:val="en-US" w:eastAsia="zh-CN"/>
        </w:rPr>
        <w:t xml:space="preserve"> 15</w:t>
      </w:r>
      <w:r>
        <w:rPr>
          <w:rFonts w:hint="eastAsia" w:ascii="仿宋_GB2312" w:hAnsi="仿宋_GB2312" w:eastAsia="仿宋_GB2312" w:cs="仿宋_GB2312"/>
          <w:b/>
          <w:bCs/>
          <w:color w:val="auto"/>
          <w:kern w:val="0"/>
          <w:sz w:val="32"/>
          <w:szCs w:val="32"/>
          <w:highlight w:val="none"/>
        </w:rPr>
        <w:t>m</w:t>
      </w:r>
      <w:r>
        <w:rPr>
          <w:rFonts w:hint="eastAsia" w:ascii="仿宋_GB2312" w:hAnsi="仿宋_GB2312" w:eastAsia="仿宋_GB2312" w:cs="仿宋_GB2312"/>
          <w:b/>
          <w:bCs/>
          <w:color w:val="auto"/>
          <w:kern w:val="0"/>
          <w:sz w:val="32"/>
          <w:szCs w:val="32"/>
          <w:highlight w:val="none"/>
          <w:vertAlign w:val="superscript"/>
        </w:rPr>
        <w:t>3</w:t>
      </w:r>
      <w:r>
        <w:rPr>
          <w:rFonts w:hint="eastAsia" w:ascii="仿宋_GB2312" w:hAnsi="仿宋_GB2312" w:eastAsia="仿宋_GB2312" w:cs="仿宋_GB2312"/>
          <w:b/>
          <w:bCs/>
          <w:color w:val="auto"/>
          <w:kern w:val="0"/>
          <w:sz w:val="32"/>
          <w:szCs w:val="32"/>
          <w:highlight w:val="none"/>
          <w:vertAlign w:val="superscript"/>
          <w:lang w:val="en-US" w:eastAsia="zh-CN"/>
        </w:rPr>
        <w:t xml:space="preserve"> </w:t>
      </w:r>
      <w:r>
        <w:rPr>
          <w:rFonts w:hint="eastAsia" w:ascii="仿宋_GB2312" w:hAnsi="仿宋_GB2312" w:eastAsia="仿宋_GB2312" w:cs="仿宋_GB2312"/>
          <w:color w:val="auto"/>
          <w:kern w:val="0"/>
          <w:sz w:val="32"/>
          <w:szCs w:val="32"/>
          <w:highlight w:val="none"/>
        </w:rPr>
        <w:t>及规范要求提供低温液氧储槽</w:t>
      </w:r>
      <w:r>
        <w:rPr>
          <w:rFonts w:hint="eastAsia" w:ascii="仿宋_GB2312" w:hAnsi="仿宋_GB2312" w:eastAsia="仿宋_GB2312" w:cs="仿宋_GB2312"/>
          <w:b w:val="0"/>
          <w:bCs w:val="0"/>
          <w:color w:val="auto"/>
          <w:kern w:val="0"/>
          <w:sz w:val="32"/>
          <w:szCs w:val="32"/>
          <w:highlight w:val="none"/>
          <w:lang w:eastAsia="zh-CN"/>
        </w:rPr>
        <w:t>：</w:t>
      </w:r>
    </w:p>
    <w:p w14:paraId="67010A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（1）设计压力：</w:t>
      </w:r>
      <w:r>
        <w:rPr>
          <w:rFonts w:hint="eastAsia" w:ascii="仿宋_GB2312" w:hAnsi="仿宋_GB2312" w:eastAsia="仿宋_GB2312" w:cs="仿宋_GB2312"/>
          <w:sz w:val="32"/>
          <w:szCs w:val="32"/>
          <w:lang w:val="en-US" w:eastAsia="zh-CN"/>
        </w:rPr>
        <w:t>0.8/-0.1MPa</w:t>
      </w:r>
    </w:p>
    <w:p w14:paraId="4BCCC1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（2）设计温度：-196/20℃</w:t>
      </w:r>
      <w:r>
        <w:rPr>
          <w:rFonts w:hint="eastAsia" w:ascii="仿宋_GB2312" w:hAnsi="仿宋_GB2312" w:eastAsia="仿宋_GB2312" w:cs="仿宋_GB2312"/>
          <w:color w:val="auto"/>
          <w:kern w:val="0"/>
          <w:sz w:val="32"/>
          <w:szCs w:val="32"/>
          <w:highlight w:val="none"/>
          <w:lang w:eastAsia="zh-CN"/>
        </w:rPr>
        <w:t>；</w:t>
      </w:r>
    </w:p>
    <w:p w14:paraId="1FECD3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（3）储槽要求液相、气相均为双阀，达到储槽和汽化器并联交替使用。</w:t>
      </w:r>
    </w:p>
    <w:p w14:paraId="02CDCA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汽化器≥</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台</w:t>
      </w:r>
      <w:r>
        <w:rPr>
          <w:rFonts w:hint="eastAsia" w:ascii="仿宋_GB2312" w:hAnsi="仿宋_GB2312" w:eastAsia="仿宋_GB2312" w:cs="仿宋_GB2312"/>
          <w:color w:val="auto"/>
          <w:kern w:val="0"/>
          <w:sz w:val="32"/>
          <w:szCs w:val="32"/>
          <w:highlight w:val="none"/>
        </w:rPr>
        <w:t>（≥500m</w:t>
      </w:r>
      <w:r>
        <w:rPr>
          <w:rFonts w:hint="eastAsia" w:ascii="仿宋_GB2312" w:hAnsi="仿宋_GB2312" w:eastAsia="仿宋_GB2312" w:cs="仿宋_GB2312"/>
          <w:color w:val="auto"/>
          <w:kern w:val="0"/>
          <w:sz w:val="32"/>
          <w:szCs w:val="32"/>
          <w:highlight w:val="none"/>
          <w:vertAlign w:val="superscript"/>
        </w:rPr>
        <w:t>3</w:t>
      </w:r>
      <w:r>
        <w:rPr>
          <w:rFonts w:hint="eastAsia" w:ascii="仿宋_GB2312" w:hAnsi="仿宋_GB2312" w:eastAsia="仿宋_GB2312" w:cs="仿宋_GB2312"/>
          <w:color w:val="auto"/>
          <w:kern w:val="0"/>
          <w:sz w:val="32"/>
          <w:szCs w:val="32"/>
          <w:highlight w:val="none"/>
        </w:rPr>
        <w:t>/h）。</w:t>
      </w:r>
    </w:p>
    <w:p w14:paraId="3D6E28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三</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阀门</w:t>
      </w:r>
      <w:r>
        <w:rPr>
          <w:rFonts w:hint="eastAsia" w:ascii="仿宋_GB2312" w:hAnsi="仿宋_GB2312" w:eastAsia="仿宋_GB2312" w:cs="仿宋_GB2312"/>
          <w:color w:val="auto"/>
          <w:sz w:val="32"/>
          <w:szCs w:val="32"/>
          <w:highlight w:val="none"/>
        </w:rPr>
        <w:t>要求</w:t>
      </w:r>
    </w:p>
    <w:p w14:paraId="4B7C9B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低温阀材质：不锈钢（CF8）；适应温度：-196～+80℃</w:t>
      </w:r>
      <w:r>
        <w:rPr>
          <w:rFonts w:hint="eastAsia" w:ascii="仿宋_GB2312" w:hAnsi="仿宋_GB2312" w:eastAsia="仿宋_GB2312" w:cs="仿宋_GB2312"/>
          <w:color w:val="auto"/>
          <w:sz w:val="32"/>
          <w:szCs w:val="32"/>
          <w:highlight w:val="none"/>
          <w:lang w:eastAsia="zh-CN"/>
        </w:rPr>
        <w:t>。</w:t>
      </w:r>
    </w:p>
    <w:p w14:paraId="1C2C02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安全阀材质：不锈钢（CF8）</w:t>
      </w:r>
    </w:p>
    <w:p w14:paraId="1611CE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安装要求</w:t>
      </w:r>
    </w:p>
    <w:p w14:paraId="5154A9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设备安装时配备供氧方的数显液位、压力远程监控装置。</w:t>
      </w:r>
    </w:p>
    <w:p w14:paraId="100DCA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安装氧浓度报警装置。</w:t>
      </w:r>
    </w:p>
    <w:p w14:paraId="14FA28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spacing w:val="0"/>
          <w:kern w:val="2"/>
          <w:sz w:val="32"/>
          <w:szCs w:val="32"/>
          <w:highlight w:val="none"/>
          <w:lang w:val="en-US" w:eastAsia="zh-CN" w:bidi="ar-SA"/>
        </w:rPr>
        <w:t>成交供应商</w:t>
      </w:r>
      <w:r>
        <w:rPr>
          <w:rFonts w:hint="eastAsia" w:ascii="仿宋_GB2312" w:hAnsi="仿宋_GB2312" w:eastAsia="仿宋_GB2312" w:cs="仿宋_GB2312"/>
          <w:color w:val="auto"/>
          <w:kern w:val="0"/>
          <w:sz w:val="32"/>
          <w:szCs w:val="32"/>
          <w:highlight w:val="none"/>
        </w:rPr>
        <w:t>投入有全套设备及施工，</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办理低温液氧储槽</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《特种设备使用证》</w:t>
      </w:r>
      <w:r>
        <w:rPr>
          <w:rFonts w:hint="eastAsia" w:ascii="仿宋_GB2312" w:hAnsi="仿宋_GB2312" w:eastAsia="仿宋_GB2312" w:cs="仿宋_GB2312"/>
          <w:color w:val="auto"/>
          <w:kern w:val="0"/>
          <w:sz w:val="32"/>
          <w:szCs w:val="32"/>
          <w:highlight w:val="none"/>
          <w:lang w:eastAsia="zh-CN"/>
        </w:rPr>
        <w:t>。</w:t>
      </w:r>
    </w:p>
    <w:p w14:paraId="76A84D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4.成交供应商</w:t>
      </w:r>
      <w:r>
        <w:rPr>
          <w:rFonts w:hint="eastAsia" w:ascii="仿宋_GB2312" w:hAnsi="仿宋_GB2312" w:eastAsia="仿宋_GB2312" w:cs="仿宋_GB2312"/>
          <w:color w:val="auto"/>
          <w:kern w:val="0"/>
          <w:sz w:val="32"/>
          <w:szCs w:val="32"/>
          <w:highlight w:val="none"/>
        </w:rPr>
        <w:t>负责该</w:t>
      </w:r>
      <w:r>
        <w:rPr>
          <w:rFonts w:hint="eastAsia" w:ascii="仿宋_GB2312" w:hAnsi="仿宋_GB2312" w:eastAsia="仿宋_GB2312" w:cs="仿宋_GB2312"/>
          <w:color w:val="auto"/>
          <w:spacing w:val="0"/>
          <w:kern w:val="2"/>
          <w:sz w:val="32"/>
          <w:szCs w:val="32"/>
          <w:highlight w:val="none"/>
          <w:lang w:val="en-US" w:eastAsia="zh-CN" w:bidi="ar-SA"/>
        </w:rPr>
        <w:t>液氧储罐及配套设施</w:t>
      </w:r>
      <w:r>
        <w:rPr>
          <w:rFonts w:hint="eastAsia" w:ascii="仿宋_GB2312" w:hAnsi="仿宋_GB2312" w:eastAsia="仿宋_GB2312" w:cs="仿宋_GB2312"/>
          <w:color w:val="auto"/>
          <w:kern w:val="0"/>
          <w:sz w:val="32"/>
          <w:szCs w:val="32"/>
          <w:highlight w:val="none"/>
        </w:rPr>
        <w:t>的日常维护、检验，保持有效使用，不再收取任何费用</w:t>
      </w:r>
      <w:r>
        <w:rPr>
          <w:rFonts w:hint="eastAsia" w:ascii="仿宋_GB2312" w:hAnsi="仿宋_GB2312" w:eastAsia="仿宋_GB2312" w:cs="仿宋_GB2312"/>
          <w:color w:val="auto"/>
          <w:kern w:val="0"/>
          <w:sz w:val="32"/>
          <w:szCs w:val="32"/>
          <w:highlight w:val="none"/>
          <w:lang w:eastAsia="zh-CN"/>
        </w:rPr>
        <w:t>。</w:t>
      </w:r>
    </w:p>
    <w:p w14:paraId="77915CD7">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textAlignment w:val="baseline"/>
        <w:rPr>
          <w:rFonts w:hint="eastAsia" w:ascii="仿宋_GB2312" w:hAnsi="仿宋_GB2312" w:eastAsia="仿宋_GB2312" w:cs="仿宋_GB2312"/>
          <w:sz w:val="32"/>
          <w:szCs w:val="32"/>
          <w:lang w:val="en-US" w:eastAsia="zh-CN"/>
        </w:rPr>
      </w:pPr>
    </w:p>
    <w:p w14:paraId="650BCBD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五、其它要求</w:t>
      </w:r>
    </w:p>
    <w:p w14:paraId="3EA076E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1.供货周期期间，成交供应商必须提供具备中华人民共和国特种设备安全管理和作业人员证（R2）的持证人员不少于2人为医院方提供保养和维护工作；</w:t>
      </w:r>
    </w:p>
    <w:p w14:paraId="20C7EA9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检测气瓶的机构（（可以是成交供应商或成交供应商委托的第三方机构））具有有效的《特种设备检验检测机构核准证（气瓶检验机构）》（核准项目为：无缝气瓶），交由医院方备案，且须保持供货周期内持续有效，否则医院方不予以验收通过。</w:t>
      </w:r>
    </w:p>
    <w:p w14:paraId="571D98E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3.供货周期期间，成交供应商提供不少于2辆载重量不小于25吨的医用氧低温配送车和不少于1辆小型单位紧急供气槽车，以满足各种状况下的使用需求。</w:t>
      </w:r>
    </w:p>
    <w:p w14:paraId="69FA526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运输的机构（可以是成交供应商或成交供应商委托的第三方机构）必须具备有效的《道路运输经营许可证》(经营范围包括危险品道路运输)，交由医院方备案，且须保持供货周期内持续有效，否则医院方不予以验收通过。</w:t>
      </w:r>
    </w:p>
    <w:p w14:paraId="2B56A33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气瓶充装的机构（可以是成交供应商或生产厂家）必须具备有效的充装机构的有效的《中华人民共和国移动式压力容器/气瓶充装许可证》，交由医院方备案，且须保持供货周期内持续有效，否则医院方不予以验收通过。</w:t>
      </w:r>
    </w:p>
    <w:p w14:paraId="3102D47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6.具有液氧储罐气体监控装置。</w:t>
      </w:r>
    </w:p>
    <w:p w14:paraId="4AA6DE62">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sz w:val="32"/>
          <w:szCs w:val="32"/>
          <w:lang w:val="en-US" w:eastAsia="zh-CN"/>
        </w:rPr>
        <w:t>7.响应供应商储存基地医用氧储存量不得少于50吨。</w:t>
      </w:r>
    </w:p>
    <w:p w14:paraId="6214ADF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eastAsia" w:ascii="仿宋_GB2312" w:hAnsi="仿宋_GB2312" w:eastAsia="仿宋_GB2312" w:cs="仿宋_GB2312"/>
          <w:sz w:val="32"/>
          <w:szCs w:val="32"/>
        </w:rPr>
      </w:pPr>
    </w:p>
    <w:p w14:paraId="5F7463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pacing w:val="0"/>
          <w:kern w:val="1"/>
          <w:sz w:val="32"/>
          <w:szCs w:val="32"/>
          <w:highlight w:val="none"/>
          <w:lang w:val="en-US" w:eastAsia="zh-CN"/>
        </w:rPr>
        <w:t>六、</w:t>
      </w:r>
      <w:r>
        <w:rPr>
          <w:rFonts w:hint="eastAsia" w:ascii="仿宋_GB2312" w:hAnsi="仿宋_GB2312" w:eastAsia="仿宋_GB2312" w:cs="仿宋_GB2312"/>
          <w:b/>
          <w:bCs/>
          <w:color w:val="auto"/>
          <w:spacing w:val="0"/>
          <w:kern w:val="1"/>
          <w:sz w:val="32"/>
          <w:szCs w:val="32"/>
          <w:highlight w:val="none"/>
        </w:rPr>
        <w:t>供货周期、交货期和地点</w:t>
      </w:r>
    </w:p>
    <w:p w14:paraId="1F08AC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color w:val="auto"/>
          <w:spacing w:val="0"/>
          <w:kern w:val="1"/>
          <w:sz w:val="32"/>
          <w:szCs w:val="32"/>
          <w:highlight w:val="none"/>
        </w:rPr>
      </w:pPr>
      <w:r>
        <w:rPr>
          <w:rFonts w:hint="eastAsia" w:ascii="仿宋_GB2312" w:hAnsi="仿宋_GB2312" w:eastAsia="仿宋_GB2312" w:cs="仿宋_GB2312"/>
          <w:b w:val="0"/>
          <w:bCs w:val="0"/>
          <w:color w:val="auto"/>
          <w:spacing w:val="0"/>
          <w:kern w:val="1"/>
          <w:sz w:val="32"/>
          <w:szCs w:val="32"/>
          <w:highlight w:val="none"/>
          <w:lang w:val="en-US" w:eastAsia="zh-CN"/>
        </w:rPr>
        <w:t>1.</w:t>
      </w:r>
      <w:r>
        <w:rPr>
          <w:rFonts w:hint="eastAsia" w:ascii="仿宋_GB2312" w:hAnsi="仿宋_GB2312" w:eastAsia="仿宋_GB2312" w:cs="仿宋_GB2312"/>
          <w:b w:val="0"/>
          <w:bCs w:val="0"/>
          <w:color w:val="auto"/>
          <w:spacing w:val="0"/>
          <w:kern w:val="1"/>
          <w:sz w:val="32"/>
          <w:szCs w:val="32"/>
          <w:highlight w:val="none"/>
          <w:lang w:eastAsia="zh-CN"/>
        </w:rPr>
        <w:t>供货周期：</w:t>
      </w:r>
      <w:r>
        <w:rPr>
          <w:rFonts w:hint="eastAsia" w:ascii="仿宋_GB2312" w:hAnsi="仿宋_GB2312" w:eastAsia="仿宋_GB2312" w:cs="仿宋_GB2312"/>
          <w:b w:val="0"/>
          <w:bCs w:val="0"/>
          <w:color w:val="auto"/>
          <w:spacing w:val="0"/>
          <w:kern w:val="1"/>
          <w:sz w:val="32"/>
          <w:szCs w:val="32"/>
          <w:highlight w:val="none"/>
        </w:rPr>
        <w:t>自合同签订之日起</w:t>
      </w:r>
      <w:r>
        <w:rPr>
          <w:rFonts w:hint="eastAsia" w:ascii="仿宋_GB2312" w:hAnsi="仿宋_GB2312" w:eastAsia="仿宋_GB2312" w:cs="仿宋_GB2312"/>
          <w:b w:val="0"/>
          <w:bCs w:val="0"/>
          <w:color w:val="auto"/>
          <w:spacing w:val="0"/>
          <w:kern w:val="1"/>
          <w:sz w:val="32"/>
          <w:szCs w:val="32"/>
          <w:highlight w:val="none"/>
          <w:lang w:val="en-US" w:eastAsia="zh-CN"/>
        </w:rPr>
        <w:t>1</w:t>
      </w:r>
      <w:r>
        <w:rPr>
          <w:rFonts w:hint="eastAsia" w:ascii="仿宋_GB2312" w:hAnsi="仿宋_GB2312" w:eastAsia="仿宋_GB2312" w:cs="仿宋_GB2312"/>
          <w:b w:val="0"/>
          <w:bCs w:val="0"/>
          <w:color w:val="auto"/>
          <w:spacing w:val="0"/>
          <w:kern w:val="1"/>
          <w:sz w:val="32"/>
          <w:szCs w:val="32"/>
          <w:highlight w:val="none"/>
        </w:rPr>
        <w:t>年。</w:t>
      </w:r>
    </w:p>
    <w:p w14:paraId="25E0DD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color w:val="auto"/>
          <w:spacing w:val="0"/>
          <w:kern w:val="1"/>
          <w:sz w:val="32"/>
          <w:szCs w:val="32"/>
          <w:highlight w:val="none"/>
        </w:rPr>
      </w:pPr>
      <w:r>
        <w:rPr>
          <w:rFonts w:hint="eastAsia" w:ascii="仿宋_GB2312" w:hAnsi="仿宋_GB2312" w:eastAsia="仿宋_GB2312" w:cs="仿宋_GB2312"/>
          <w:b w:val="0"/>
          <w:bCs w:val="0"/>
          <w:color w:val="auto"/>
          <w:spacing w:val="0"/>
          <w:kern w:val="1"/>
          <w:sz w:val="32"/>
          <w:szCs w:val="32"/>
          <w:highlight w:val="none"/>
          <w:lang w:val="en-US" w:eastAsia="zh-CN"/>
        </w:rPr>
        <w:t>2.</w:t>
      </w:r>
      <w:r>
        <w:rPr>
          <w:rFonts w:hint="eastAsia" w:ascii="仿宋_GB2312" w:hAnsi="仿宋_GB2312" w:eastAsia="仿宋_GB2312" w:cs="仿宋_GB2312"/>
          <w:b w:val="0"/>
          <w:bCs w:val="0"/>
          <w:color w:val="auto"/>
          <w:spacing w:val="0"/>
          <w:kern w:val="1"/>
          <w:sz w:val="32"/>
          <w:szCs w:val="32"/>
          <w:highlight w:val="none"/>
          <w:lang w:eastAsia="zh-CN"/>
        </w:rPr>
        <w:t>交货期：</w:t>
      </w:r>
      <w:r>
        <w:rPr>
          <w:rFonts w:hint="eastAsia" w:ascii="仿宋_GB2312" w:hAnsi="仿宋_GB2312" w:eastAsia="仿宋_GB2312" w:cs="仿宋_GB2312"/>
          <w:b w:val="0"/>
          <w:bCs w:val="0"/>
          <w:color w:val="auto"/>
          <w:spacing w:val="0"/>
          <w:kern w:val="1"/>
          <w:sz w:val="32"/>
          <w:szCs w:val="32"/>
          <w:highlight w:val="none"/>
        </w:rPr>
        <w:t>供货时间按医院使用计划分批次交货，</w:t>
      </w:r>
      <w:r>
        <w:rPr>
          <w:rFonts w:hint="eastAsia" w:ascii="仿宋_GB2312" w:hAnsi="仿宋_GB2312" w:eastAsia="仿宋_GB2312" w:cs="仿宋_GB2312"/>
          <w:b w:val="0"/>
          <w:bCs w:val="0"/>
          <w:color w:val="auto"/>
          <w:spacing w:val="0"/>
          <w:kern w:val="1"/>
          <w:sz w:val="32"/>
          <w:szCs w:val="32"/>
          <w:highlight w:val="none"/>
          <w:lang w:eastAsia="zh-CN"/>
        </w:rPr>
        <w:t>医院方</w:t>
      </w:r>
      <w:r>
        <w:rPr>
          <w:rFonts w:hint="eastAsia" w:ascii="仿宋_GB2312" w:hAnsi="仿宋_GB2312" w:eastAsia="仿宋_GB2312" w:cs="仿宋_GB2312"/>
          <w:b w:val="0"/>
          <w:bCs w:val="0"/>
          <w:color w:val="auto"/>
          <w:spacing w:val="0"/>
          <w:kern w:val="1"/>
          <w:sz w:val="32"/>
          <w:szCs w:val="32"/>
          <w:highlight w:val="none"/>
        </w:rPr>
        <w:t>提前向</w:t>
      </w:r>
      <w:r>
        <w:rPr>
          <w:rFonts w:hint="eastAsia" w:ascii="仿宋_GB2312" w:hAnsi="仿宋_GB2312" w:eastAsia="仿宋_GB2312" w:cs="仿宋_GB2312"/>
          <w:sz w:val="32"/>
          <w:szCs w:val="32"/>
          <w:lang w:val="en-US" w:eastAsia="zh-CN"/>
        </w:rPr>
        <w:t>成交供应商</w:t>
      </w:r>
      <w:r>
        <w:rPr>
          <w:rFonts w:hint="eastAsia" w:ascii="仿宋_GB2312" w:hAnsi="仿宋_GB2312" w:eastAsia="仿宋_GB2312" w:cs="仿宋_GB2312"/>
          <w:b w:val="0"/>
          <w:bCs w:val="0"/>
          <w:color w:val="auto"/>
          <w:spacing w:val="0"/>
          <w:kern w:val="1"/>
          <w:sz w:val="32"/>
          <w:szCs w:val="32"/>
          <w:highlight w:val="none"/>
        </w:rPr>
        <w:t>致电或以传真的方式向</w:t>
      </w:r>
      <w:r>
        <w:rPr>
          <w:rFonts w:hint="eastAsia" w:ascii="仿宋_GB2312" w:hAnsi="仿宋_GB2312" w:eastAsia="仿宋_GB2312" w:cs="仿宋_GB2312"/>
          <w:sz w:val="32"/>
          <w:szCs w:val="32"/>
          <w:lang w:val="en-US" w:eastAsia="zh-CN"/>
        </w:rPr>
        <w:t>成交供应商</w:t>
      </w:r>
      <w:r>
        <w:rPr>
          <w:rFonts w:hint="eastAsia" w:ascii="仿宋_GB2312" w:hAnsi="仿宋_GB2312" w:eastAsia="仿宋_GB2312" w:cs="仿宋_GB2312"/>
          <w:b w:val="0"/>
          <w:bCs w:val="0"/>
          <w:color w:val="auto"/>
          <w:spacing w:val="0"/>
          <w:kern w:val="1"/>
          <w:sz w:val="32"/>
          <w:szCs w:val="32"/>
          <w:highlight w:val="none"/>
        </w:rPr>
        <w:t>发出订单，</w:t>
      </w:r>
      <w:r>
        <w:rPr>
          <w:rFonts w:hint="eastAsia" w:ascii="仿宋_GB2312" w:hAnsi="仿宋_GB2312" w:eastAsia="仿宋_GB2312" w:cs="仿宋_GB2312"/>
          <w:sz w:val="32"/>
          <w:szCs w:val="32"/>
          <w:lang w:val="en-US" w:eastAsia="zh-CN"/>
        </w:rPr>
        <w:t>成交供应商</w:t>
      </w:r>
      <w:r>
        <w:rPr>
          <w:rFonts w:hint="eastAsia" w:ascii="仿宋_GB2312" w:hAnsi="仿宋_GB2312" w:eastAsia="仿宋_GB2312" w:cs="仿宋_GB2312"/>
          <w:b w:val="0"/>
          <w:bCs w:val="0"/>
          <w:color w:val="auto"/>
          <w:spacing w:val="0"/>
          <w:kern w:val="1"/>
          <w:sz w:val="32"/>
          <w:szCs w:val="32"/>
          <w:highlight w:val="none"/>
        </w:rPr>
        <w:t>在接到</w:t>
      </w:r>
      <w:r>
        <w:rPr>
          <w:rFonts w:hint="eastAsia" w:ascii="仿宋_GB2312" w:hAnsi="仿宋_GB2312" w:eastAsia="仿宋_GB2312" w:cs="仿宋_GB2312"/>
          <w:b w:val="0"/>
          <w:bCs w:val="0"/>
          <w:color w:val="auto"/>
          <w:spacing w:val="0"/>
          <w:kern w:val="1"/>
          <w:sz w:val="32"/>
          <w:szCs w:val="32"/>
          <w:highlight w:val="none"/>
          <w:lang w:eastAsia="zh-CN"/>
        </w:rPr>
        <w:t>医院方</w:t>
      </w:r>
      <w:r>
        <w:rPr>
          <w:rFonts w:hint="eastAsia" w:ascii="仿宋_GB2312" w:hAnsi="仿宋_GB2312" w:eastAsia="仿宋_GB2312" w:cs="仿宋_GB2312"/>
          <w:b w:val="0"/>
          <w:bCs w:val="0"/>
          <w:color w:val="auto"/>
          <w:spacing w:val="0"/>
          <w:kern w:val="1"/>
          <w:sz w:val="32"/>
          <w:szCs w:val="32"/>
          <w:highlight w:val="none"/>
        </w:rPr>
        <w:t>的</w:t>
      </w:r>
      <w:r>
        <w:rPr>
          <w:rFonts w:hint="eastAsia" w:ascii="仿宋_GB2312" w:hAnsi="仿宋_GB2312" w:eastAsia="仿宋_GB2312" w:cs="仿宋_GB2312"/>
          <w:b w:val="0"/>
          <w:bCs w:val="0"/>
          <w:color w:val="auto"/>
          <w:spacing w:val="0"/>
          <w:kern w:val="1"/>
          <w:sz w:val="32"/>
          <w:szCs w:val="32"/>
          <w:highlight w:val="none"/>
          <w:lang w:eastAsia="zh-CN"/>
        </w:rPr>
        <w:t>使用计划</w:t>
      </w:r>
      <w:r>
        <w:rPr>
          <w:rFonts w:hint="eastAsia" w:ascii="仿宋_GB2312" w:hAnsi="仿宋_GB2312" w:eastAsia="仿宋_GB2312" w:cs="仿宋_GB2312"/>
          <w:b w:val="0"/>
          <w:bCs w:val="0"/>
          <w:color w:val="auto"/>
          <w:spacing w:val="0"/>
          <w:kern w:val="1"/>
          <w:sz w:val="32"/>
          <w:szCs w:val="32"/>
          <w:highlight w:val="none"/>
        </w:rPr>
        <w:t>后保证在</w:t>
      </w:r>
      <w:r>
        <w:rPr>
          <w:rFonts w:hint="eastAsia" w:ascii="仿宋_GB2312" w:hAnsi="仿宋_GB2312" w:eastAsia="仿宋_GB2312" w:cs="仿宋_GB2312"/>
          <w:b w:val="0"/>
          <w:bCs w:val="0"/>
          <w:color w:val="auto"/>
          <w:spacing w:val="0"/>
          <w:kern w:val="1"/>
          <w:sz w:val="32"/>
          <w:szCs w:val="32"/>
          <w:highlight w:val="none"/>
          <w:lang w:val="en-US" w:eastAsia="zh-CN"/>
        </w:rPr>
        <w:t>3个日历日</w:t>
      </w:r>
      <w:r>
        <w:rPr>
          <w:rFonts w:hint="eastAsia" w:ascii="仿宋_GB2312" w:hAnsi="仿宋_GB2312" w:eastAsia="仿宋_GB2312" w:cs="仿宋_GB2312"/>
          <w:b w:val="0"/>
          <w:bCs w:val="0"/>
          <w:color w:val="auto"/>
          <w:spacing w:val="0"/>
          <w:kern w:val="1"/>
          <w:sz w:val="32"/>
          <w:szCs w:val="32"/>
          <w:highlight w:val="none"/>
        </w:rPr>
        <w:t>内按时按量把产品运到</w:t>
      </w:r>
      <w:r>
        <w:rPr>
          <w:rFonts w:hint="eastAsia" w:ascii="仿宋_GB2312" w:hAnsi="仿宋_GB2312" w:eastAsia="仿宋_GB2312" w:cs="仿宋_GB2312"/>
          <w:b w:val="0"/>
          <w:bCs w:val="0"/>
          <w:color w:val="auto"/>
          <w:spacing w:val="0"/>
          <w:kern w:val="1"/>
          <w:sz w:val="32"/>
          <w:szCs w:val="32"/>
          <w:highlight w:val="none"/>
          <w:lang w:eastAsia="zh-CN"/>
        </w:rPr>
        <w:t>医院方</w:t>
      </w:r>
      <w:r>
        <w:rPr>
          <w:rFonts w:hint="eastAsia" w:ascii="仿宋_GB2312" w:hAnsi="仿宋_GB2312" w:eastAsia="仿宋_GB2312" w:cs="仿宋_GB2312"/>
          <w:b w:val="0"/>
          <w:bCs w:val="0"/>
          <w:color w:val="auto"/>
          <w:spacing w:val="0"/>
          <w:kern w:val="1"/>
          <w:sz w:val="32"/>
          <w:szCs w:val="32"/>
          <w:highlight w:val="none"/>
        </w:rPr>
        <w:t>指定场地。</w:t>
      </w:r>
    </w:p>
    <w:p w14:paraId="6C112C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val="0"/>
          <w:bCs w:val="0"/>
          <w:color w:val="auto"/>
          <w:spacing w:val="0"/>
          <w:kern w:val="1"/>
          <w:sz w:val="32"/>
          <w:szCs w:val="32"/>
          <w:highlight w:val="none"/>
          <w:lang w:val="en-US" w:eastAsia="zh-CN"/>
        </w:rPr>
        <w:t>3.</w:t>
      </w:r>
      <w:r>
        <w:rPr>
          <w:rFonts w:hint="eastAsia" w:ascii="仿宋_GB2312" w:hAnsi="仿宋_GB2312" w:eastAsia="仿宋_GB2312" w:cs="仿宋_GB2312"/>
          <w:b w:val="0"/>
          <w:bCs w:val="0"/>
          <w:color w:val="auto"/>
          <w:spacing w:val="0"/>
          <w:kern w:val="1"/>
          <w:sz w:val="32"/>
          <w:szCs w:val="32"/>
          <w:highlight w:val="none"/>
          <w:lang w:eastAsia="zh-CN"/>
        </w:rPr>
        <w:t>交货地点：</w:t>
      </w:r>
      <w:r>
        <w:rPr>
          <w:rFonts w:hint="eastAsia" w:ascii="仿宋_GB2312" w:hAnsi="仿宋_GB2312" w:eastAsia="仿宋_GB2312" w:cs="仿宋_GB2312"/>
          <w:color w:val="auto"/>
          <w:spacing w:val="0"/>
          <w:sz w:val="32"/>
          <w:szCs w:val="32"/>
          <w:highlight w:val="none"/>
          <w:lang w:eastAsia="zh-CN"/>
        </w:rPr>
        <w:t>医院方</w:t>
      </w:r>
      <w:r>
        <w:rPr>
          <w:rFonts w:hint="eastAsia" w:ascii="仿宋_GB2312" w:hAnsi="仿宋_GB2312" w:eastAsia="仿宋_GB2312" w:cs="仿宋_GB2312"/>
          <w:color w:val="auto"/>
          <w:spacing w:val="0"/>
          <w:sz w:val="32"/>
          <w:szCs w:val="32"/>
          <w:highlight w:val="none"/>
        </w:rPr>
        <w:t>指定地点</w:t>
      </w:r>
    </w:p>
    <w:p w14:paraId="46090A4D">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b/>
          <w:bCs/>
          <w:sz w:val="32"/>
          <w:szCs w:val="32"/>
          <w:lang w:val="en-US" w:eastAsia="zh-CN"/>
        </w:rPr>
      </w:pPr>
    </w:p>
    <w:p w14:paraId="615965D5">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color w:val="auto"/>
          <w:sz w:val="32"/>
          <w:szCs w:val="32"/>
          <w:highlight w:val="none"/>
          <w:lang w:val="en-US" w:eastAsia="zh-CN"/>
        </w:rPr>
        <w:t>售后服务要求</w:t>
      </w:r>
    </w:p>
    <w:p w14:paraId="4E6964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质保期除特别注明外，最短不得少于1年（自交付使用并验收合格之日起计），若厂家质保期超过此年限的，按厂家规定执行；质保期内完全上门维修、更换配件。</w:t>
      </w:r>
    </w:p>
    <w:p w14:paraId="2023F8A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负责送货上门、安装调试合格，须派出有相应资格的技术人员到现场负责安装调试，直至正常使用。按国家有关产品“三包”规定执行“三包”，以上产品必须是具备厂家合法渠道的。同时承诺配套供应</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科室使用的瓶装医用气体。如医院因业务发展需要对氧站储罐进行院内迁移，</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须按</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要求对医用氧站进行搬迁。</w:t>
      </w:r>
    </w:p>
    <w:p w14:paraId="4AEB84B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应急承诺：</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按</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要求定期到客户现场进行专业性安全供气检查和供气技术指导；并承诺贮气罐和其它供气设施出现故障时，公司客服人员能在24小时内及时到供气现场解决供气故障。</w:t>
      </w:r>
    </w:p>
    <w:p w14:paraId="5B7421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定期将</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的氧气瓶按医用氧气瓶的标准做处理工作。氧气瓶定期检验、试压、试压清洗、内部除锈、加温吹干、抽真空、气体置换由供应商承担。</w:t>
      </w:r>
    </w:p>
    <w:p w14:paraId="0AD187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低温储罐供气系统在合同期内的设备维修、维护费用以及贮氧罐（瓶）、压力表、安全阀等设备的检测申报及费用由</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承担，并提供检测报告供</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存档。</w:t>
      </w:r>
    </w:p>
    <w:p w14:paraId="25D0C2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六</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应建立包括供货方档案、用户档案在内的医用氧质量管理制度，并有完整真实的购进、销售和退货记录，针对医用氧储存有效期问题，有严防过期医用氧被临床使用的措施，严禁提供过期不合格的医用氧。</w:t>
      </w:r>
    </w:p>
    <w:p w14:paraId="7190B7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为保证液氧供应能够及时、储罐等配套设施能安全运行，</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备充足的全方面售后服务人员作为保障。</w:t>
      </w:r>
    </w:p>
    <w:p w14:paraId="7243AEA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八</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应建立相应应急供氧和故障排除预案，能做到24小时*7天应急紧急抢修和故障处理，遇紧急情况能采取控制措施，避免事态恶化。</w:t>
      </w:r>
    </w:p>
    <w:p w14:paraId="6E57C68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九</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医用氧出厂时应附有合格证；验收时需出具合格证及批次信息。</w:t>
      </w:r>
    </w:p>
    <w:p w14:paraId="4087468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接故障通知2小时内响应，一般问题在2小时内通过远程方式解决；遇到大的问题，在接到报修通知后12小时内派技术人员到达现场维修；如预计维修时间超过24小时提供备品使用。</w:t>
      </w:r>
    </w:p>
    <w:p w14:paraId="43F70B6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十一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响应</w:t>
      </w:r>
      <w:r>
        <w:rPr>
          <w:rFonts w:hint="eastAsia" w:ascii="仿宋_GB2312" w:hAnsi="仿宋_GB2312" w:eastAsia="仿宋_GB2312" w:cs="仿宋_GB2312"/>
          <w:bCs/>
          <w:sz w:val="32"/>
          <w:szCs w:val="32"/>
        </w:rPr>
        <w:t>文件中必须承诺设备验收合格后对</w:t>
      </w:r>
      <w:r>
        <w:rPr>
          <w:rFonts w:hint="eastAsia" w:ascii="仿宋_GB2312" w:hAnsi="仿宋_GB2312" w:eastAsia="仿宋_GB2312" w:cs="仿宋_GB2312"/>
          <w:bCs/>
          <w:sz w:val="32"/>
          <w:szCs w:val="32"/>
          <w:lang w:eastAsia="zh-CN"/>
        </w:rPr>
        <w:t>医院方</w:t>
      </w:r>
      <w:r>
        <w:rPr>
          <w:rFonts w:hint="eastAsia" w:ascii="仿宋_GB2312" w:hAnsi="仿宋_GB2312" w:eastAsia="仿宋_GB2312" w:cs="仿宋_GB2312"/>
          <w:bCs/>
          <w:sz w:val="32"/>
          <w:szCs w:val="32"/>
        </w:rPr>
        <w:t>使用人员（2-3名）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p w14:paraId="3F0623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供应商签订合同时必须提供</w:t>
      </w:r>
      <w:r>
        <w:rPr>
          <w:rFonts w:hint="eastAsia" w:ascii="仿宋_GB2312" w:hAnsi="仿宋_GB2312" w:eastAsia="仿宋_GB2312" w:cs="仿宋_GB2312"/>
          <w:sz w:val="32"/>
          <w:szCs w:val="32"/>
          <w:lang w:val="en-US" w:eastAsia="zh-CN"/>
        </w:rPr>
        <w:t>过渡</w:t>
      </w:r>
      <w:r>
        <w:rPr>
          <w:rFonts w:hint="eastAsia" w:ascii="仿宋_GB2312" w:hAnsi="仿宋_GB2312" w:eastAsia="仿宋_GB2312" w:cs="仿宋_GB2312"/>
          <w:sz w:val="32"/>
          <w:szCs w:val="32"/>
        </w:rPr>
        <w:t>交接方案，包含但不仅限于设备进场、设备办证、人员资质、设备交接方案、交接安排表等内容，保证与原服务公司就本项目所有工作顺利交接。</w:t>
      </w:r>
    </w:p>
    <w:p w14:paraId="2A6C56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合同期内，如出现因</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sz w:val="32"/>
          <w:szCs w:val="32"/>
        </w:rPr>
        <w:t>原因造成液氧断货或质量问题，</w:t>
      </w:r>
      <w:r>
        <w:rPr>
          <w:rFonts w:hint="eastAsia" w:ascii="仿宋_GB2312" w:hAnsi="仿宋_GB2312" w:eastAsia="仿宋_GB2312" w:cs="仿宋_GB2312"/>
          <w:sz w:val="32"/>
          <w:szCs w:val="32"/>
          <w:lang w:eastAsia="zh-CN"/>
        </w:rPr>
        <w:t>医院方</w:t>
      </w:r>
      <w:r>
        <w:rPr>
          <w:rFonts w:hint="eastAsia" w:ascii="仿宋_GB2312" w:hAnsi="仿宋_GB2312" w:eastAsia="仿宋_GB2312" w:cs="仿宋_GB2312"/>
          <w:sz w:val="32"/>
          <w:szCs w:val="32"/>
        </w:rPr>
        <w:t>有权终止合同，由于</w:t>
      </w:r>
      <w:r>
        <w:rPr>
          <w:rFonts w:hint="eastAsia" w:ascii="仿宋_GB2312" w:hAnsi="仿宋_GB2312" w:eastAsia="仿宋_GB2312" w:cs="仿宋_GB2312"/>
          <w:bCs/>
          <w:sz w:val="32"/>
          <w:szCs w:val="32"/>
          <w:lang w:val="en-US" w:eastAsia="zh-CN"/>
        </w:rPr>
        <w:t>成交</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sz w:val="32"/>
          <w:szCs w:val="32"/>
        </w:rPr>
        <w:t>的原因给医院造成损失的由</w:t>
      </w:r>
      <w:r>
        <w:rPr>
          <w:rFonts w:hint="eastAsia" w:ascii="仿宋_GB2312" w:hAnsi="仿宋_GB2312" w:eastAsia="仿宋_GB2312" w:cs="仿宋_GB2312"/>
          <w:sz w:val="32"/>
          <w:szCs w:val="32"/>
          <w:lang w:eastAsia="zh-CN"/>
        </w:rPr>
        <w:t>响应供应商</w:t>
      </w:r>
      <w:r>
        <w:rPr>
          <w:rFonts w:hint="eastAsia" w:ascii="仿宋_GB2312" w:hAnsi="仿宋_GB2312" w:eastAsia="仿宋_GB2312" w:cs="仿宋_GB2312"/>
          <w:sz w:val="32"/>
          <w:szCs w:val="32"/>
        </w:rPr>
        <w:t>负责承担。</w:t>
      </w:r>
    </w:p>
    <w:p w14:paraId="6FA8ED5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承诺合同签订时提供以下证明材料且保持供货周期内持续有效，否则</w:t>
      </w:r>
      <w:r>
        <w:rPr>
          <w:rFonts w:hint="eastAsia" w:ascii="仿宋_GB2312" w:hAnsi="仿宋_GB2312" w:eastAsia="仿宋_GB2312" w:cs="仿宋_GB2312"/>
          <w:sz w:val="32"/>
          <w:szCs w:val="32"/>
          <w:lang w:eastAsia="zh-CN"/>
        </w:rPr>
        <w:t>医院方</w:t>
      </w:r>
      <w:r>
        <w:rPr>
          <w:rFonts w:hint="eastAsia" w:ascii="仿宋_GB2312" w:hAnsi="仿宋_GB2312" w:eastAsia="仿宋_GB2312" w:cs="仿宋_GB2312"/>
          <w:sz w:val="32"/>
          <w:szCs w:val="32"/>
        </w:rPr>
        <w:t>不予以验收通过：</w:t>
      </w:r>
    </w:p>
    <w:p w14:paraId="3D808F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医用氧(液态)产品</w:t>
      </w:r>
      <w:r>
        <w:rPr>
          <w:rFonts w:hint="eastAsia" w:ascii="仿宋_GB2312" w:hAnsi="仿宋_GB2312" w:eastAsia="仿宋_GB2312" w:cs="仿宋_GB2312"/>
          <w:sz w:val="32"/>
          <w:szCs w:val="32"/>
          <w:lang w:val="en-US" w:eastAsia="zh-CN"/>
        </w:rPr>
        <w:t>的：</w:t>
      </w:r>
    </w:p>
    <w:p w14:paraId="638BF05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提供生产厂家有效的《药品生产许可证》〔生产范围：含医用氧（液态）〕</w:t>
      </w:r>
    </w:p>
    <w:p w14:paraId="0DC2DD2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提供生产厂家的销售授权书。</w:t>
      </w:r>
    </w:p>
    <w:p w14:paraId="4571D4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医用氧(气态)产品的：</w:t>
      </w:r>
    </w:p>
    <w:p w14:paraId="7F62F33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提供生产厂家有效的《药品生产许可证》〔生产范围：含医用氧（气态）〕</w:t>
      </w:r>
    </w:p>
    <w:p w14:paraId="4AF0575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提供生产厂家的销售授权书。</w:t>
      </w:r>
    </w:p>
    <w:p w14:paraId="704FD95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color w:val="auto"/>
          <w:sz w:val="32"/>
          <w:szCs w:val="32"/>
          <w:highlight w:val="none"/>
          <w:lang w:val="en-US" w:eastAsia="zh-CN"/>
        </w:rPr>
      </w:pPr>
    </w:p>
    <w:p w14:paraId="5252A3E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八、其他要求</w:t>
      </w:r>
    </w:p>
    <w:p w14:paraId="497FFD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rPr>
        <w:t>根据自身情况提供项目实施方案，内容包括但不限于</w:t>
      </w:r>
      <w:r>
        <w:rPr>
          <w:rFonts w:hint="eastAsia" w:ascii="仿宋_GB2312" w:hAnsi="仿宋_GB2312" w:eastAsia="仿宋_GB2312" w:cs="仿宋_GB2312"/>
          <w:sz w:val="32"/>
          <w:szCs w:val="32"/>
          <w:lang w:val="en-US" w:eastAsia="zh-CN"/>
        </w:rPr>
        <w:t>以下要求</w:t>
      </w:r>
      <w:r>
        <w:rPr>
          <w:rFonts w:hint="eastAsia" w:ascii="仿宋_GB2312" w:hAnsi="仿宋_GB2312" w:eastAsia="仿宋_GB2312" w:cs="仿宋_GB2312"/>
          <w:sz w:val="32"/>
          <w:szCs w:val="32"/>
        </w:rPr>
        <w:t>：</w:t>
      </w:r>
    </w:p>
    <w:p w14:paraId="43F5B46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配送、集中供氧服务实施方案</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包含但不限于配送、集中供氧服务实施方案，供氧方案及要求、系统试验、主要指标、总体动态安全措施、采用履约相关的压缩气体用量管理系统、可以为</w:t>
      </w:r>
      <w:r>
        <w:rPr>
          <w:rFonts w:hint="eastAsia" w:ascii="仿宋_GB2312" w:hAnsi="仿宋_GB2312" w:eastAsia="仿宋_GB2312" w:cs="仿宋_GB2312"/>
          <w:sz w:val="32"/>
          <w:szCs w:val="32"/>
          <w:lang w:eastAsia="zh-CN"/>
        </w:rPr>
        <w:t>医院方</w:t>
      </w:r>
      <w:r>
        <w:rPr>
          <w:rFonts w:hint="eastAsia" w:ascii="仿宋_GB2312" w:hAnsi="仿宋_GB2312" w:eastAsia="仿宋_GB2312" w:cs="仿宋_GB2312"/>
          <w:sz w:val="32"/>
          <w:szCs w:val="32"/>
        </w:rPr>
        <w:t>提供后续技术支持的内容、其它对项目实施有利的措施和内容等</w:t>
      </w:r>
      <w:r>
        <w:rPr>
          <w:rFonts w:hint="eastAsia" w:ascii="仿宋_GB2312" w:hAnsi="仿宋_GB2312" w:eastAsia="仿宋_GB2312" w:cs="仿宋_GB2312"/>
          <w:sz w:val="32"/>
          <w:szCs w:val="32"/>
          <w:lang w:eastAsia="zh-CN"/>
        </w:rPr>
        <w:t>。</w:t>
      </w:r>
    </w:p>
    <w:p w14:paraId="56873B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充装操作实施</w:t>
      </w:r>
      <w:r>
        <w:rPr>
          <w:rFonts w:hint="eastAsia" w:ascii="仿宋_GB2312" w:hAnsi="仿宋_GB2312" w:eastAsia="仿宋_GB2312" w:cs="仿宋_GB2312"/>
          <w:bCs/>
          <w:sz w:val="32"/>
          <w:szCs w:val="32"/>
          <w:lang w:val="en-US" w:eastAsia="zh-CN"/>
        </w:rPr>
        <w:t>方案：</w:t>
      </w:r>
      <w:r>
        <w:rPr>
          <w:rFonts w:hint="eastAsia" w:ascii="仿宋_GB2312" w:hAnsi="仿宋_GB2312" w:eastAsia="仿宋_GB2312" w:cs="仿宋_GB2312"/>
          <w:sz w:val="32"/>
          <w:szCs w:val="32"/>
        </w:rPr>
        <w:t>包含但不限于容器充装前、后检查操作规程，容器充装操作规程，气、液体分析操作规程，低温液体罐车操作液体注意事项与操作规程，装卸用管面耐压试验操作规程，事故应急处理操作规程、有其它对项目实施有利的措施和内容等</w:t>
      </w:r>
      <w:r>
        <w:rPr>
          <w:rFonts w:hint="eastAsia" w:ascii="仿宋_GB2312" w:hAnsi="仿宋_GB2312" w:eastAsia="仿宋_GB2312" w:cs="仿宋_GB2312"/>
          <w:sz w:val="32"/>
          <w:szCs w:val="32"/>
          <w:lang w:eastAsia="zh-CN"/>
        </w:rPr>
        <w:t>。</w:t>
      </w:r>
    </w:p>
    <w:p w14:paraId="138045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日常安全管理实施</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但不限于主要管理人员及操作人员的职责，设备安全保障措施，质量安全保证措施，设备维护及维修措施，采用气体仓储安全的日常监测系统、氧浓度实时安全监测系统，压缩气体储罐状态监控、安全排放、防泄漏装置内容、有其它对项目实施有利的措施和内容等</w:t>
      </w:r>
      <w:r>
        <w:rPr>
          <w:rFonts w:hint="eastAsia" w:ascii="仿宋_GB2312" w:hAnsi="仿宋_GB2312" w:eastAsia="仿宋_GB2312" w:cs="仿宋_GB2312"/>
          <w:sz w:val="32"/>
          <w:szCs w:val="32"/>
          <w:lang w:eastAsia="zh-CN"/>
        </w:rPr>
        <w:t>。</w:t>
      </w:r>
    </w:p>
    <w:p w14:paraId="5E27AE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售后服务方案</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包含但不限于意外应急状况服务或现场抢险指导，遇到紧急情况到达故障现场时间；故障出现解决方案；定期维护（注明时间）承诺；技术培训方案（不额外收费）；售后服务技术人员名单和联系方式、其它对项目实施有利的保障措施和内容等。</w:t>
      </w:r>
    </w:p>
    <w:p w14:paraId="07DEB1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rPr>
        <w:t>实施本项目的履约保障方面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在医用气体存量管理、气体仓储安全监测方面能够采用信息化技术进行管理并投入本项目的履约执行，提供相关软件著作权登记证书复印件（或扫描件）。</w:t>
      </w:r>
    </w:p>
    <w:sectPr>
      <w:pgSz w:w="11906" w:h="16838"/>
      <w:pgMar w:top="1440" w:right="1800" w:bottom="1440" w:left="1800"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DD632AF"/>
    <w:rsid w:val="003577A2"/>
    <w:rsid w:val="00534564"/>
    <w:rsid w:val="00D20B4D"/>
    <w:rsid w:val="0179546C"/>
    <w:rsid w:val="017F6F67"/>
    <w:rsid w:val="01A11117"/>
    <w:rsid w:val="01C36057"/>
    <w:rsid w:val="02F474A0"/>
    <w:rsid w:val="034244F7"/>
    <w:rsid w:val="035937A7"/>
    <w:rsid w:val="039B780B"/>
    <w:rsid w:val="03AE3AF3"/>
    <w:rsid w:val="046248DD"/>
    <w:rsid w:val="046A17A1"/>
    <w:rsid w:val="04733C90"/>
    <w:rsid w:val="04A07D4E"/>
    <w:rsid w:val="04AE6738"/>
    <w:rsid w:val="058676CD"/>
    <w:rsid w:val="066A1827"/>
    <w:rsid w:val="06865A57"/>
    <w:rsid w:val="079C0106"/>
    <w:rsid w:val="09164C99"/>
    <w:rsid w:val="0978425B"/>
    <w:rsid w:val="098A46BA"/>
    <w:rsid w:val="09D45935"/>
    <w:rsid w:val="0A6319DD"/>
    <w:rsid w:val="0B297F03"/>
    <w:rsid w:val="0B377C26"/>
    <w:rsid w:val="0B550CF8"/>
    <w:rsid w:val="0C060244"/>
    <w:rsid w:val="0C1D3CC4"/>
    <w:rsid w:val="0CB506A3"/>
    <w:rsid w:val="0D5E2043"/>
    <w:rsid w:val="0D8633EB"/>
    <w:rsid w:val="0DD632AF"/>
    <w:rsid w:val="0E2941CB"/>
    <w:rsid w:val="0E2F3A82"/>
    <w:rsid w:val="0F6A2898"/>
    <w:rsid w:val="10073833"/>
    <w:rsid w:val="105A2DDD"/>
    <w:rsid w:val="120A0758"/>
    <w:rsid w:val="12972056"/>
    <w:rsid w:val="12FD414F"/>
    <w:rsid w:val="13EB3FA7"/>
    <w:rsid w:val="14BE487B"/>
    <w:rsid w:val="162649DE"/>
    <w:rsid w:val="1647748F"/>
    <w:rsid w:val="168E3310"/>
    <w:rsid w:val="16A9014A"/>
    <w:rsid w:val="173F6B92"/>
    <w:rsid w:val="17F65611"/>
    <w:rsid w:val="183A72AB"/>
    <w:rsid w:val="18CD6371"/>
    <w:rsid w:val="19B23A8B"/>
    <w:rsid w:val="19B85026"/>
    <w:rsid w:val="1A6D6405"/>
    <w:rsid w:val="1A8C5DB8"/>
    <w:rsid w:val="1C314E69"/>
    <w:rsid w:val="1C9B4DAF"/>
    <w:rsid w:val="1CBF4E5C"/>
    <w:rsid w:val="1D092789"/>
    <w:rsid w:val="1DC6338F"/>
    <w:rsid w:val="1E721E5B"/>
    <w:rsid w:val="1E9646DD"/>
    <w:rsid w:val="1EAB0F03"/>
    <w:rsid w:val="1EBA5D21"/>
    <w:rsid w:val="1F6D440A"/>
    <w:rsid w:val="20125FC6"/>
    <w:rsid w:val="202D76F6"/>
    <w:rsid w:val="203171E6"/>
    <w:rsid w:val="206969D4"/>
    <w:rsid w:val="21246E7F"/>
    <w:rsid w:val="216F013D"/>
    <w:rsid w:val="21B07388"/>
    <w:rsid w:val="21DA5F3C"/>
    <w:rsid w:val="23563407"/>
    <w:rsid w:val="237827E2"/>
    <w:rsid w:val="23AD1388"/>
    <w:rsid w:val="245623CD"/>
    <w:rsid w:val="24E25F88"/>
    <w:rsid w:val="24F8352F"/>
    <w:rsid w:val="257E3163"/>
    <w:rsid w:val="25837E60"/>
    <w:rsid w:val="268C786C"/>
    <w:rsid w:val="27226C58"/>
    <w:rsid w:val="28212236"/>
    <w:rsid w:val="288F53F1"/>
    <w:rsid w:val="29A62EB3"/>
    <w:rsid w:val="29DD218D"/>
    <w:rsid w:val="2A0F3E4A"/>
    <w:rsid w:val="2A380BEB"/>
    <w:rsid w:val="2B1B11BE"/>
    <w:rsid w:val="2B5F689C"/>
    <w:rsid w:val="2C027C88"/>
    <w:rsid w:val="2D031F0A"/>
    <w:rsid w:val="2D625F22"/>
    <w:rsid w:val="2EA74B17"/>
    <w:rsid w:val="2F223BD8"/>
    <w:rsid w:val="304545E8"/>
    <w:rsid w:val="31061FC9"/>
    <w:rsid w:val="3127714C"/>
    <w:rsid w:val="31653AAF"/>
    <w:rsid w:val="31B25CAD"/>
    <w:rsid w:val="31EE13DB"/>
    <w:rsid w:val="31FD5A66"/>
    <w:rsid w:val="32847649"/>
    <w:rsid w:val="32AC094E"/>
    <w:rsid w:val="32AE46C6"/>
    <w:rsid w:val="33152997"/>
    <w:rsid w:val="332400CB"/>
    <w:rsid w:val="337E3ABF"/>
    <w:rsid w:val="33A60B65"/>
    <w:rsid w:val="351F4856"/>
    <w:rsid w:val="37CD6645"/>
    <w:rsid w:val="38AA5E5E"/>
    <w:rsid w:val="3A3D0F80"/>
    <w:rsid w:val="3A601606"/>
    <w:rsid w:val="3B5A1EB7"/>
    <w:rsid w:val="3B7B35B3"/>
    <w:rsid w:val="3BBD3A9B"/>
    <w:rsid w:val="3D24131B"/>
    <w:rsid w:val="3D9D3825"/>
    <w:rsid w:val="3DC72AE0"/>
    <w:rsid w:val="3DEE4511"/>
    <w:rsid w:val="3DF26ABA"/>
    <w:rsid w:val="3DF315D1"/>
    <w:rsid w:val="3E4B54BF"/>
    <w:rsid w:val="3E5F540E"/>
    <w:rsid w:val="3E9230EE"/>
    <w:rsid w:val="3EA66B99"/>
    <w:rsid w:val="3ECD5406"/>
    <w:rsid w:val="3ED731F7"/>
    <w:rsid w:val="3F5123FA"/>
    <w:rsid w:val="3FAA090B"/>
    <w:rsid w:val="403A3BAE"/>
    <w:rsid w:val="40C41559"/>
    <w:rsid w:val="40D914A8"/>
    <w:rsid w:val="40EF2A79"/>
    <w:rsid w:val="414508EB"/>
    <w:rsid w:val="41811BF5"/>
    <w:rsid w:val="419D4ED4"/>
    <w:rsid w:val="445950D3"/>
    <w:rsid w:val="451C1963"/>
    <w:rsid w:val="45CA701F"/>
    <w:rsid w:val="4659239C"/>
    <w:rsid w:val="47970899"/>
    <w:rsid w:val="47F60B91"/>
    <w:rsid w:val="484F25B3"/>
    <w:rsid w:val="48896C4D"/>
    <w:rsid w:val="489A0F95"/>
    <w:rsid w:val="48D16D59"/>
    <w:rsid w:val="48E41853"/>
    <w:rsid w:val="4984719E"/>
    <w:rsid w:val="49A14B2D"/>
    <w:rsid w:val="49C93A81"/>
    <w:rsid w:val="49E27234"/>
    <w:rsid w:val="49E47FC2"/>
    <w:rsid w:val="4A05330E"/>
    <w:rsid w:val="4AEE3DA2"/>
    <w:rsid w:val="4B14555D"/>
    <w:rsid w:val="4B2E23F0"/>
    <w:rsid w:val="4BCB08F3"/>
    <w:rsid w:val="4C1023D8"/>
    <w:rsid w:val="4C6C329B"/>
    <w:rsid w:val="4C995F8F"/>
    <w:rsid w:val="4CC052CA"/>
    <w:rsid w:val="4D851618"/>
    <w:rsid w:val="4DAE4FD7"/>
    <w:rsid w:val="4E1F24C4"/>
    <w:rsid w:val="4EDA55B2"/>
    <w:rsid w:val="4F0466C4"/>
    <w:rsid w:val="50303B6F"/>
    <w:rsid w:val="50840068"/>
    <w:rsid w:val="50F8411B"/>
    <w:rsid w:val="524C3B97"/>
    <w:rsid w:val="52F12681"/>
    <w:rsid w:val="52F60580"/>
    <w:rsid w:val="52F932E4"/>
    <w:rsid w:val="531719BC"/>
    <w:rsid w:val="53257079"/>
    <w:rsid w:val="53BD6A07"/>
    <w:rsid w:val="53E90A64"/>
    <w:rsid w:val="54106B37"/>
    <w:rsid w:val="542361F0"/>
    <w:rsid w:val="549E4143"/>
    <w:rsid w:val="54D73513"/>
    <w:rsid w:val="55016556"/>
    <w:rsid w:val="5560764A"/>
    <w:rsid w:val="563C3EE5"/>
    <w:rsid w:val="56B339B4"/>
    <w:rsid w:val="5766453C"/>
    <w:rsid w:val="57AE6D93"/>
    <w:rsid w:val="57E9314E"/>
    <w:rsid w:val="583D55F8"/>
    <w:rsid w:val="58533496"/>
    <w:rsid w:val="587A7C86"/>
    <w:rsid w:val="59350DEE"/>
    <w:rsid w:val="5A2E04F8"/>
    <w:rsid w:val="5BD40D92"/>
    <w:rsid w:val="5C471564"/>
    <w:rsid w:val="5D904324"/>
    <w:rsid w:val="5E0B4F10"/>
    <w:rsid w:val="5E316028"/>
    <w:rsid w:val="5E9860A7"/>
    <w:rsid w:val="5F4A19E8"/>
    <w:rsid w:val="5F4C37A5"/>
    <w:rsid w:val="60251BBC"/>
    <w:rsid w:val="608E60AD"/>
    <w:rsid w:val="61447E20"/>
    <w:rsid w:val="62744735"/>
    <w:rsid w:val="62EC076F"/>
    <w:rsid w:val="639D4BE0"/>
    <w:rsid w:val="63CE60C7"/>
    <w:rsid w:val="63D138C2"/>
    <w:rsid w:val="652305F7"/>
    <w:rsid w:val="656C5B97"/>
    <w:rsid w:val="656F6EAA"/>
    <w:rsid w:val="65921AA2"/>
    <w:rsid w:val="66ED2D08"/>
    <w:rsid w:val="67284C27"/>
    <w:rsid w:val="673277AA"/>
    <w:rsid w:val="6784575E"/>
    <w:rsid w:val="67E70D23"/>
    <w:rsid w:val="67F5000A"/>
    <w:rsid w:val="67FC76A6"/>
    <w:rsid w:val="67FD6F7B"/>
    <w:rsid w:val="68025236"/>
    <w:rsid w:val="6881195A"/>
    <w:rsid w:val="688B60CC"/>
    <w:rsid w:val="69225685"/>
    <w:rsid w:val="69272501"/>
    <w:rsid w:val="69CA13F4"/>
    <w:rsid w:val="6A0E7201"/>
    <w:rsid w:val="6A1C407C"/>
    <w:rsid w:val="6BC73847"/>
    <w:rsid w:val="6C0F54CE"/>
    <w:rsid w:val="6CFC1EF7"/>
    <w:rsid w:val="6DEC51A8"/>
    <w:rsid w:val="6E3B07FD"/>
    <w:rsid w:val="6E5813AF"/>
    <w:rsid w:val="6E9A5523"/>
    <w:rsid w:val="6EBC4192"/>
    <w:rsid w:val="6EDC3D8E"/>
    <w:rsid w:val="6F2F65B3"/>
    <w:rsid w:val="70B0102E"/>
    <w:rsid w:val="71535B1B"/>
    <w:rsid w:val="722A12B4"/>
    <w:rsid w:val="724063E2"/>
    <w:rsid w:val="7278201F"/>
    <w:rsid w:val="72A42E14"/>
    <w:rsid w:val="72C708B1"/>
    <w:rsid w:val="72FE6618"/>
    <w:rsid w:val="73A11102"/>
    <w:rsid w:val="75826D11"/>
    <w:rsid w:val="75CD30AD"/>
    <w:rsid w:val="772269FE"/>
    <w:rsid w:val="77244531"/>
    <w:rsid w:val="775C524E"/>
    <w:rsid w:val="77974740"/>
    <w:rsid w:val="78DE0702"/>
    <w:rsid w:val="790F0AA9"/>
    <w:rsid w:val="79A16C9B"/>
    <w:rsid w:val="79CB5E03"/>
    <w:rsid w:val="7A513882"/>
    <w:rsid w:val="7A8D23E0"/>
    <w:rsid w:val="7AF20495"/>
    <w:rsid w:val="7B5B0730"/>
    <w:rsid w:val="7BBD0AA3"/>
    <w:rsid w:val="7C9F2586"/>
    <w:rsid w:val="7CE7227B"/>
    <w:rsid w:val="7D365B85"/>
    <w:rsid w:val="7D5E2796"/>
    <w:rsid w:val="7ED56104"/>
    <w:rsid w:val="7EF96296"/>
    <w:rsid w:val="7F565E23"/>
    <w:rsid w:val="7F61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5">
    <w:name w:val="index 8"/>
    <w:basedOn w:val="1"/>
    <w:next w:val="1"/>
    <w:qFormat/>
    <w:uiPriority w:val="0"/>
    <w:pPr>
      <w:ind w:left="2940"/>
    </w:pPr>
  </w:style>
  <w:style w:type="paragraph" w:styleId="6">
    <w:name w:val="annotation text"/>
    <w:basedOn w:val="1"/>
    <w:unhideWhenUsed/>
    <w:qFormat/>
    <w:uiPriority w:val="99"/>
    <w:pPr>
      <w:jc w:val="left"/>
    </w:pPr>
  </w:style>
  <w:style w:type="paragraph" w:styleId="7">
    <w:name w:val="Body Text Indent"/>
    <w:basedOn w:val="1"/>
    <w:unhideWhenUsed/>
    <w:qFormat/>
    <w:uiPriority w:val="99"/>
    <w:pPr>
      <w:spacing w:line="200" w:lineRule="exact"/>
      <w:ind w:firstLine="301"/>
    </w:pPr>
    <w:rPr>
      <w:rFonts w:ascii="宋体" w:hAnsi="Courier New"/>
      <w:spacing w:val="-4"/>
      <w:sz w:val="18"/>
      <w:szCs w:val="20"/>
    </w:rPr>
  </w:style>
  <w:style w:type="paragraph" w:styleId="8">
    <w:name w:val="Plain Text"/>
    <w:basedOn w:val="1"/>
    <w:next w:val="5"/>
    <w:unhideWhenUsed/>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楷标样式"/>
    <w:basedOn w:val="3"/>
    <w:next w:val="1"/>
    <w:autoRedefine/>
    <w:qFormat/>
    <w:uiPriority w:val="0"/>
    <w:pPr>
      <w:jc w:val="center"/>
    </w:pPr>
    <w:rPr>
      <w:rFonts w:hint="eastAsia" w:ascii="楷体" w:hAnsi="楷体" w:eastAsia="楷体" w:cs="楷体"/>
      <w:bCs/>
      <w:sz w:val="36"/>
      <w:szCs w:val="40"/>
    </w:rPr>
  </w:style>
  <w:style w:type="paragraph" w:customStyle="1" w:styleId="14">
    <w:name w:val="表格文字"/>
    <w:basedOn w:val="7"/>
    <w:next w:val="2"/>
    <w:qFormat/>
    <w:uiPriority w:val="0"/>
    <w:pPr>
      <w:adjustRightInd w:val="0"/>
      <w:spacing w:line="420" w:lineRule="atLeast"/>
      <w:jc w:val="left"/>
      <w:textAlignment w:val="baseline"/>
    </w:pPr>
    <w:rPr>
      <w:kern w:val="0"/>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3845</Words>
  <Characters>4231</Characters>
  <Lines>0</Lines>
  <Paragraphs>0</Paragraphs>
  <TotalTime>6</TotalTime>
  <ScaleCrop>false</ScaleCrop>
  <LinksUpToDate>false</LinksUpToDate>
  <CharactersWithSpaces>4245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2024-08-19T01:23:00Z</dcterms:created>
  <dc:creator>缺口</dc:creator>
  <cp:lastModifiedBy>秋秋</cp:lastModifiedBy>
  <cp:lastPrinted>2024-10-28T01:23:00Z</cp:lastPrinted>
  <dcterms:modified xsi:type="dcterms:W3CDTF">2024-11-04T07:59:22Z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21CC68590B304B74AF77D23559E99CE4_13</vt:lpwstr>
  </property>
</Properties>
</file>