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5091B">
      <w:pPr>
        <w:pStyle w:val="4"/>
        <w:jc w:val="center"/>
        <w:rPr>
          <w:rFonts w:hint="default"/>
          <w:color w:val="auto"/>
          <w:sz w:val="40"/>
          <w:szCs w:val="32"/>
          <w:highlight w:val="none"/>
          <w:lang w:val="en-US"/>
        </w:rPr>
      </w:pPr>
      <w:r>
        <w:rPr>
          <w:rFonts w:hint="eastAsia"/>
          <w:color w:val="auto"/>
          <w:sz w:val="40"/>
          <w:szCs w:val="32"/>
          <w:highlight w:val="none"/>
          <w:lang w:val="en-US" w:eastAsia="zh-CN"/>
        </w:rPr>
        <w:t>中山大学附属第一医院广西医院</w:t>
      </w:r>
      <w:r>
        <w:rPr>
          <w:rFonts w:hint="eastAsia"/>
          <w:color w:val="auto"/>
          <w:sz w:val="40"/>
          <w:szCs w:val="32"/>
          <w:highlight w:val="none"/>
        </w:rPr>
        <w:t>网络安全与</w:t>
      </w:r>
      <w:r>
        <w:rPr>
          <w:rFonts w:hint="eastAsia"/>
          <w:color w:val="auto"/>
          <w:sz w:val="40"/>
          <w:szCs w:val="32"/>
          <w:highlight w:val="none"/>
          <w:lang w:val="en-US" w:eastAsia="zh-CN"/>
        </w:rPr>
        <w:t>网络</w:t>
      </w:r>
      <w:r>
        <w:rPr>
          <w:rFonts w:hint="eastAsia"/>
          <w:color w:val="auto"/>
          <w:sz w:val="40"/>
          <w:szCs w:val="32"/>
          <w:highlight w:val="none"/>
        </w:rPr>
        <w:t>通讯设备维保</w:t>
      </w:r>
      <w:r>
        <w:rPr>
          <w:rFonts w:hint="eastAsia"/>
          <w:color w:val="auto"/>
          <w:sz w:val="40"/>
          <w:szCs w:val="32"/>
          <w:highlight w:val="none"/>
          <w:lang w:val="en-US" w:eastAsia="zh-CN"/>
        </w:rPr>
        <w:t>服务需求文件及评分办法</w:t>
      </w:r>
      <w:bookmarkStart w:id="37" w:name="_GoBack"/>
      <w:bookmarkEnd w:id="37"/>
    </w:p>
    <w:p w14:paraId="3E00A948">
      <w:pPr>
        <w:numPr>
          <w:ilvl w:val="0"/>
          <w:numId w:val="2"/>
        </w:numPr>
        <w:spacing w:line="360" w:lineRule="auto"/>
        <w:ind w:left="0" w:leftChars="0" w:firstLine="420" w:firstLineChars="0"/>
        <w:jc w:val="left"/>
        <w:rPr>
          <w:rFonts w:hint="eastAsia" w:ascii="宋体" w:hAnsi="宋体" w:eastAsia="宋体" w:cs="宋体"/>
          <w:b/>
          <w:color w:val="auto"/>
          <w:sz w:val="24"/>
          <w:highlight w:val="none"/>
        </w:rPr>
      </w:pPr>
      <w:bookmarkStart w:id="0" w:name="_Toc16313"/>
      <w:r>
        <w:rPr>
          <w:rFonts w:hint="eastAsia" w:ascii="宋体" w:hAnsi="宋体" w:eastAsia="宋体" w:cs="宋体"/>
          <w:b/>
          <w:color w:val="auto"/>
          <w:sz w:val="24"/>
          <w:highlight w:val="none"/>
        </w:rPr>
        <w:t>信息资产统计服务</w:t>
      </w:r>
      <w:bookmarkEnd w:id="0"/>
    </w:p>
    <w:p w14:paraId="78714E81">
      <w:pPr>
        <w:numPr>
          <w:ilvl w:val="0"/>
          <w:numId w:val="0"/>
        </w:numPr>
        <w:ind w:leftChars="200"/>
        <w:rPr>
          <w:b/>
          <w:bCs/>
          <w:color w:val="auto"/>
          <w:highlight w:val="none"/>
        </w:rPr>
      </w:pPr>
      <w:r>
        <w:rPr>
          <w:rFonts w:hint="eastAsia"/>
          <w:b/>
          <w:bCs/>
          <w:color w:val="auto"/>
          <w:highlight w:val="none"/>
        </w:rPr>
        <w:t>服务内容包括：</w:t>
      </w:r>
    </w:p>
    <w:p w14:paraId="08E52CD6">
      <w:pPr>
        <w:numPr>
          <w:ilvl w:val="0"/>
          <w:numId w:val="3"/>
        </w:numPr>
        <w:ind w:left="0" w:leftChars="0" w:firstLine="420" w:firstLineChars="200"/>
        <w:rPr>
          <w:rFonts w:hint="eastAsia"/>
          <w:color w:val="auto"/>
          <w:highlight w:val="none"/>
        </w:rPr>
      </w:pPr>
      <w:r>
        <w:rPr>
          <w:rFonts w:hint="eastAsia"/>
          <w:color w:val="auto"/>
          <w:highlight w:val="none"/>
        </w:rPr>
        <w:t>硬件设备型号、数量、版本等信息统计记录</w:t>
      </w:r>
    </w:p>
    <w:p w14:paraId="1376C27E">
      <w:pPr>
        <w:numPr>
          <w:ilvl w:val="0"/>
          <w:numId w:val="3"/>
        </w:numPr>
        <w:ind w:left="0" w:leftChars="0" w:firstLine="420" w:firstLineChars="200"/>
        <w:rPr>
          <w:rFonts w:hint="eastAsia"/>
          <w:color w:val="auto"/>
          <w:highlight w:val="none"/>
        </w:rPr>
      </w:pPr>
      <w:r>
        <w:rPr>
          <w:rFonts w:hint="eastAsia"/>
          <w:color w:val="auto"/>
          <w:highlight w:val="none"/>
        </w:rPr>
        <w:t>软件产品型号、版本和补丁等信息统计记录</w:t>
      </w:r>
    </w:p>
    <w:p w14:paraId="77114A13">
      <w:pPr>
        <w:numPr>
          <w:ilvl w:val="0"/>
          <w:numId w:val="3"/>
        </w:numPr>
        <w:ind w:left="0" w:leftChars="0" w:firstLine="420" w:firstLineChars="200"/>
        <w:rPr>
          <w:rFonts w:ascii="宋体" w:hAnsi="宋体" w:cstheme="minorEastAsia"/>
          <w:color w:val="auto"/>
          <w:highlight w:val="none"/>
        </w:rPr>
      </w:pPr>
      <w:r>
        <w:rPr>
          <w:rFonts w:hint="eastAsia"/>
          <w:color w:val="auto"/>
          <w:highlight w:val="none"/>
        </w:rPr>
        <w:t>网络拓扑结构、网络IP地址统计记录</w:t>
      </w:r>
    </w:p>
    <w:p w14:paraId="2F507726">
      <w:pPr>
        <w:numPr>
          <w:ilvl w:val="0"/>
          <w:numId w:val="2"/>
        </w:numPr>
        <w:spacing w:line="360" w:lineRule="auto"/>
        <w:ind w:left="0" w:leftChars="0" w:firstLine="420" w:firstLineChars="0"/>
        <w:jc w:val="left"/>
        <w:rPr>
          <w:rFonts w:hint="eastAsia" w:ascii="宋体" w:hAnsi="宋体" w:eastAsia="宋体" w:cs="宋体"/>
          <w:b/>
          <w:color w:val="auto"/>
          <w:sz w:val="24"/>
          <w:highlight w:val="none"/>
        </w:rPr>
      </w:pPr>
      <w:bookmarkStart w:id="1" w:name="_Toc71232211"/>
      <w:bookmarkStart w:id="2" w:name="_Toc7658"/>
      <w:r>
        <w:rPr>
          <w:rFonts w:hint="eastAsia" w:ascii="宋体" w:hAnsi="宋体" w:eastAsia="宋体" w:cs="宋体"/>
          <w:b/>
          <w:color w:val="auto"/>
          <w:sz w:val="24"/>
          <w:highlight w:val="none"/>
        </w:rPr>
        <w:t>网络设备运维服务</w:t>
      </w:r>
      <w:bookmarkEnd w:id="1"/>
      <w:bookmarkEnd w:id="2"/>
    </w:p>
    <w:p w14:paraId="0711564E">
      <w:pPr>
        <w:ind w:firstLine="420" w:firstLineChars="200"/>
        <w:rPr>
          <w:b w:val="0"/>
          <w:bCs w:val="0"/>
          <w:color w:val="auto"/>
          <w:highlight w:val="none"/>
        </w:rPr>
      </w:pPr>
      <w:r>
        <w:rPr>
          <w:rFonts w:hint="eastAsia"/>
          <w:b w:val="0"/>
          <w:bCs w:val="0"/>
          <w:color w:val="auto"/>
          <w:highlight w:val="none"/>
        </w:rPr>
        <w:t>网络设备的运维服务包括：设备的日常监控，设备的运行状态监控，设备故障处理等内容。</w:t>
      </w:r>
    </w:p>
    <w:p w14:paraId="72210FFD">
      <w:pPr>
        <w:numPr>
          <w:ilvl w:val="0"/>
          <w:numId w:val="4"/>
        </w:numPr>
        <w:ind w:left="0" w:leftChars="0" w:firstLine="420" w:firstLineChars="200"/>
        <w:rPr>
          <w:rFonts w:hint="eastAsia"/>
          <w:color w:val="auto"/>
          <w:highlight w:val="none"/>
        </w:rPr>
      </w:pPr>
      <w:r>
        <w:rPr>
          <w:rFonts w:hint="eastAsia"/>
          <w:color w:val="auto"/>
          <w:highlight w:val="none"/>
        </w:rPr>
        <w:t>核心交换机、汇聚交换机整体维保。成交供应商不仅要保证设备的正常开机和运转，承诺保证配置无误、网络拓扑合理、信号稳定有效、真实业务可用。可进行监控管理的内容包括：CPU 状态</w:t>
      </w:r>
      <w:r>
        <w:rPr>
          <w:rFonts w:hint="eastAsia"/>
          <w:color w:val="auto"/>
          <w:highlight w:val="none"/>
          <w:lang w:eastAsia="zh-CN"/>
        </w:rPr>
        <w:t>、</w:t>
      </w:r>
      <w:r>
        <w:rPr>
          <w:rFonts w:hint="eastAsia"/>
          <w:color w:val="auto"/>
          <w:highlight w:val="none"/>
        </w:rPr>
        <w:t>内存状态</w:t>
      </w:r>
      <w:r>
        <w:rPr>
          <w:rFonts w:hint="eastAsia"/>
          <w:color w:val="auto"/>
          <w:highlight w:val="none"/>
          <w:lang w:eastAsia="zh-CN"/>
        </w:rPr>
        <w:t>、</w:t>
      </w:r>
      <w:r>
        <w:rPr>
          <w:rFonts w:hint="eastAsia"/>
          <w:color w:val="auto"/>
          <w:highlight w:val="none"/>
        </w:rPr>
        <w:t>设备温度</w:t>
      </w:r>
      <w:r>
        <w:rPr>
          <w:rFonts w:hint="eastAsia"/>
          <w:color w:val="auto"/>
          <w:highlight w:val="none"/>
          <w:lang w:eastAsia="zh-CN"/>
        </w:rPr>
        <w:t>、</w:t>
      </w:r>
      <w:r>
        <w:rPr>
          <w:rFonts w:hint="eastAsia"/>
          <w:color w:val="auto"/>
          <w:highlight w:val="none"/>
        </w:rPr>
        <w:t>风扇模块</w:t>
      </w:r>
      <w:r>
        <w:rPr>
          <w:rFonts w:hint="eastAsia"/>
          <w:color w:val="auto"/>
          <w:highlight w:val="none"/>
          <w:lang w:eastAsia="zh-CN"/>
        </w:rPr>
        <w:t>、</w:t>
      </w:r>
      <w:r>
        <w:rPr>
          <w:rFonts w:hint="eastAsia"/>
          <w:color w:val="auto"/>
          <w:highlight w:val="none"/>
        </w:rPr>
        <w:t>电源模块</w:t>
      </w:r>
      <w:r>
        <w:rPr>
          <w:rFonts w:hint="eastAsia"/>
          <w:color w:val="auto"/>
          <w:highlight w:val="none"/>
          <w:lang w:eastAsia="zh-CN"/>
        </w:rPr>
        <w:t>、</w:t>
      </w:r>
      <w:r>
        <w:rPr>
          <w:rFonts w:hint="eastAsia"/>
          <w:color w:val="auto"/>
          <w:highlight w:val="none"/>
        </w:rPr>
        <w:t>日志信息等</w:t>
      </w:r>
      <w:r>
        <w:rPr>
          <w:rFonts w:hint="eastAsia"/>
          <w:color w:val="auto"/>
          <w:highlight w:val="none"/>
          <w:lang w:eastAsia="zh-CN"/>
        </w:rPr>
        <w:t>。</w:t>
      </w:r>
    </w:p>
    <w:p w14:paraId="21B1F83F">
      <w:pPr>
        <w:numPr>
          <w:ilvl w:val="0"/>
          <w:numId w:val="4"/>
        </w:numPr>
        <w:ind w:left="0" w:leftChars="0" w:firstLine="420" w:firstLineChars="200"/>
        <w:rPr>
          <w:rFonts w:hint="eastAsia"/>
          <w:color w:val="auto"/>
          <w:highlight w:val="none"/>
        </w:rPr>
      </w:pPr>
      <w:r>
        <w:rPr>
          <w:rFonts w:hint="eastAsia"/>
          <w:color w:val="auto"/>
          <w:highlight w:val="none"/>
        </w:rPr>
        <w:t>提供快速备件先行更换服务，对于常用的模块、电源、线缆、板卡等设备提供</w:t>
      </w:r>
      <w:r>
        <w:rPr>
          <w:rFonts w:hint="eastAsia"/>
          <w:color w:val="auto"/>
          <w:highlight w:val="none"/>
          <w:lang w:eastAsia="zh-CN"/>
        </w:rPr>
        <w:t>医院方</w:t>
      </w:r>
      <w:r>
        <w:rPr>
          <w:rFonts w:hint="eastAsia"/>
          <w:color w:val="auto"/>
          <w:highlight w:val="none"/>
        </w:rPr>
        <w:t>的现场备件，提供备品备件更换时，交换机要提供支持SDN。</w:t>
      </w:r>
    </w:p>
    <w:p w14:paraId="1B1A50D9">
      <w:pPr>
        <w:numPr>
          <w:ilvl w:val="0"/>
          <w:numId w:val="4"/>
        </w:numPr>
        <w:ind w:left="0" w:leftChars="0" w:firstLine="420" w:firstLineChars="200"/>
        <w:rPr>
          <w:rFonts w:hint="eastAsia"/>
          <w:color w:val="auto"/>
          <w:highlight w:val="none"/>
        </w:rPr>
      </w:pPr>
      <w:r>
        <w:rPr>
          <w:rFonts w:hint="eastAsia"/>
          <w:color w:val="auto"/>
          <w:highlight w:val="none"/>
        </w:rPr>
        <w:t>提供因未知原因引起突发事件的现场故障诊断、技术支持。</w:t>
      </w:r>
    </w:p>
    <w:p w14:paraId="67F6448C">
      <w:pPr>
        <w:numPr>
          <w:ilvl w:val="0"/>
          <w:numId w:val="4"/>
        </w:numPr>
        <w:ind w:left="0" w:leftChars="0" w:firstLine="420" w:firstLineChars="200"/>
        <w:rPr>
          <w:rFonts w:hint="eastAsia"/>
          <w:color w:val="auto"/>
          <w:highlight w:val="none"/>
        </w:rPr>
      </w:pPr>
      <w:r>
        <w:rPr>
          <w:rFonts w:hint="eastAsia"/>
          <w:color w:val="auto"/>
          <w:highlight w:val="none"/>
        </w:rPr>
        <w:t>提供现场备件以及快速现场服务。</w:t>
      </w:r>
    </w:p>
    <w:p w14:paraId="27FEB05C">
      <w:pPr>
        <w:numPr>
          <w:ilvl w:val="0"/>
          <w:numId w:val="4"/>
        </w:numPr>
        <w:ind w:left="0" w:leftChars="0" w:firstLine="420" w:firstLineChars="200"/>
        <w:rPr>
          <w:rFonts w:hint="eastAsia"/>
          <w:color w:val="auto"/>
          <w:highlight w:val="none"/>
        </w:rPr>
      </w:pPr>
      <w:r>
        <w:rPr>
          <w:rFonts w:hint="eastAsia"/>
          <w:color w:val="auto"/>
          <w:highlight w:val="none"/>
          <w:lang w:eastAsia="zh-CN"/>
        </w:rPr>
        <w:t>医院方</w:t>
      </w:r>
      <w:r>
        <w:rPr>
          <w:rFonts w:hint="eastAsia"/>
          <w:color w:val="auto"/>
          <w:highlight w:val="none"/>
        </w:rPr>
        <w:t>进行网络应急预案演练时，供应商安排技术人员按</w:t>
      </w:r>
      <w:r>
        <w:rPr>
          <w:rFonts w:hint="eastAsia"/>
          <w:color w:val="auto"/>
          <w:highlight w:val="none"/>
          <w:lang w:eastAsia="zh-CN"/>
        </w:rPr>
        <w:t>医院方</w:t>
      </w:r>
      <w:r>
        <w:rPr>
          <w:rFonts w:hint="eastAsia"/>
          <w:color w:val="auto"/>
          <w:highlight w:val="none"/>
        </w:rPr>
        <w:t>要求到场配合演练。</w:t>
      </w:r>
    </w:p>
    <w:p w14:paraId="7B68A582">
      <w:pPr>
        <w:numPr>
          <w:ilvl w:val="0"/>
          <w:numId w:val="4"/>
        </w:numPr>
        <w:ind w:left="0" w:leftChars="0" w:firstLine="420" w:firstLineChars="200"/>
        <w:rPr>
          <w:rFonts w:hint="eastAsia"/>
          <w:color w:val="auto"/>
          <w:highlight w:val="none"/>
        </w:rPr>
      </w:pPr>
      <w:r>
        <w:rPr>
          <w:rFonts w:hint="eastAsia"/>
          <w:color w:val="auto"/>
          <w:highlight w:val="none"/>
        </w:rPr>
        <w:t>提供必要的技术培训，保障其顺利维护设备，并在技术培训时提供相应文档。</w:t>
      </w:r>
    </w:p>
    <w:p w14:paraId="4E20CE5B">
      <w:pPr>
        <w:numPr>
          <w:ilvl w:val="0"/>
          <w:numId w:val="4"/>
        </w:numPr>
        <w:ind w:left="0" w:leftChars="0" w:firstLine="420" w:firstLineChars="200"/>
        <w:rPr>
          <w:rFonts w:hint="eastAsia"/>
          <w:color w:val="auto"/>
          <w:highlight w:val="none"/>
        </w:rPr>
      </w:pPr>
      <w:r>
        <w:rPr>
          <w:rFonts w:hint="eastAsia"/>
          <w:color w:val="auto"/>
          <w:highlight w:val="none"/>
        </w:rPr>
        <w:t>提供包含所有板卡、电源等部件的维保范围。</w:t>
      </w:r>
    </w:p>
    <w:p w14:paraId="24814FA2">
      <w:pPr>
        <w:numPr>
          <w:ilvl w:val="0"/>
          <w:numId w:val="4"/>
        </w:numPr>
        <w:ind w:left="0" w:leftChars="0" w:firstLine="420" w:firstLineChars="200"/>
        <w:rPr>
          <w:rFonts w:hint="eastAsia"/>
          <w:color w:val="auto"/>
          <w:highlight w:val="none"/>
        </w:rPr>
      </w:pPr>
      <w:r>
        <w:rPr>
          <w:rFonts w:hint="eastAsia"/>
          <w:color w:val="auto"/>
          <w:highlight w:val="none"/>
        </w:rPr>
        <w:t>安全设备维保。</w:t>
      </w:r>
    </w:p>
    <w:p w14:paraId="051C2A10">
      <w:pPr>
        <w:numPr>
          <w:ilvl w:val="0"/>
          <w:numId w:val="2"/>
        </w:numPr>
        <w:spacing w:line="360" w:lineRule="auto"/>
        <w:ind w:left="0" w:leftChars="0" w:firstLine="420" w:firstLineChars="0"/>
        <w:jc w:val="left"/>
        <w:rPr>
          <w:rFonts w:hint="eastAsia" w:ascii="宋体" w:hAnsi="宋体" w:eastAsia="宋体" w:cs="宋体"/>
          <w:b/>
          <w:color w:val="auto"/>
          <w:sz w:val="24"/>
          <w:highlight w:val="none"/>
        </w:rPr>
      </w:pPr>
      <w:bookmarkStart w:id="3" w:name="_Toc71232212"/>
      <w:bookmarkStart w:id="4" w:name="_Toc29514"/>
      <w:bookmarkStart w:id="5" w:name="_Toc225234529"/>
      <w:bookmarkStart w:id="6" w:name="_Toc120955602"/>
      <w:r>
        <w:rPr>
          <w:rFonts w:hint="eastAsia" w:ascii="宋体" w:hAnsi="宋体" w:eastAsia="宋体" w:cs="宋体"/>
          <w:b/>
          <w:color w:val="auto"/>
          <w:sz w:val="24"/>
          <w:highlight w:val="none"/>
        </w:rPr>
        <w:t>硬件维修服务</w:t>
      </w:r>
      <w:bookmarkEnd w:id="3"/>
      <w:bookmarkEnd w:id="4"/>
      <w:bookmarkEnd w:id="5"/>
      <w:bookmarkEnd w:id="6"/>
    </w:p>
    <w:p w14:paraId="1415140D">
      <w:pPr>
        <w:ind w:firstLine="420"/>
        <w:rPr>
          <w:rFonts w:hAnsi="宋体" w:cstheme="minorEastAsia"/>
          <w:color w:val="auto"/>
          <w:szCs w:val="30"/>
          <w:highlight w:val="none"/>
        </w:rPr>
      </w:pPr>
      <w:r>
        <w:rPr>
          <w:rFonts w:hint="eastAsia"/>
          <w:color w:val="auto"/>
          <w:highlight w:val="none"/>
        </w:rPr>
        <w:t>在合同范围内相关设备正常使用情况下的故障设备属于保修范围。无法修复的退回</w:t>
      </w:r>
      <w:r>
        <w:rPr>
          <w:rFonts w:hint="eastAsia"/>
          <w:color w:val="auto"/>
          <w:highlight w:val="none"/>
          <w:lang w:eastAsia="zh-CN"/>
        </w:rPr>
        <w:t>医院方</w:t>
      </w:r>
      <w:r>
        <w:rPr>
          <w:rFonts w:hint="eastAsia"/>
          <w:color w:val="auto"/>
          <w:highlight w:val="none"/>
        </w:rPr>
        <w:t>并提供相关的报废证明报告。</w:t>
      </w:r>
    </w:p>
    <w:p w14:paraId="705B59BF">
      <w:pPr>
        <w:numPr>
          <w:ilvl w:val="0"/>
          <w:numId w:val="2"/>
        </w:numPr>
        <w:spacing w:line="360" w:lineRule="auto"/>
        <w:ind w:left="0" w:leftChars="0" w:firstLine="420" w:firstLineChars="0"/>
        <w:jc w:val="left"/>
        <w:rPr>
          <w:rFonts w:hint="eastAsia" w:ascii="宋体" w:hAnsi="宋体" w:eastAsia="宋体" w:cs="宋体"/>
          <w:b/>
          <w:color w:val="auto"/>
          <w:sz w:val="24"/>
          <w:highlight w:val="none"/>
        </w:rPr>
      </w:pPr>
      <w:bookmarkStart w:id="7" w:name="_Toc225234533"/>
      <w:bookmarkStart w:id="8" w:name="_Toc120955626"/>
      <w:bookmarkStart w:id="9" w:name="_Toc71232213"/>
      <w:bookmarkStart w:id="10" w:name="_Toc30849"/>
      <w:r>
        <w:rPr>
          <w:rFonts w:hint="eastAsia" w:ascii="宋体" w:hAnsi="宋体" w:eastAsia="宋体" w:cs="宋体"/>
          <w:b/>
          <w:color w:val="auto"/>
          <w:sz w:val="24"/>
          <w:highlight w:val="none"/>
        </w:rPr>
        <w:t>硬件更换服务</w:t>
      </w:r>
      <w:bookmarkEnd w:id="7"/>
      <w:bookmarkEnd w:id="8"/>
      <w:bookmarkEnd w:id="9"/>
      <w:bookmarkEnd w:id="10"/>
    </w:p>
    <w:p w14:paraId="30E3B705">
      <w:pPr>
        <w:pStyle w:val="6"/>
        <w:rPr>
          <w:rFonts w:hAnsi="宋体" w:cstheme="minorEastAsia"/>
          <w:color w:val="auto"/>
          <w:szCs w:val="30"/>
          <w:highlight w:val="none"/>
        </w:rPr>
      </w:pPr>
      <w:r>
        <w:rPr>
          <w:rFonts w:hint="eastAsia" w:ascii="宋体" w:hAnsi="宋体" w:cstheme="minorEastAsia"/>
          <w:color w:val="auto"/>
          <w:szCs w:val="30"/>
          <w:highlight w:val="none"/>
        </w:rPr>
        <w:tab/>
      </w:r>
      <w:r>
        <w:rPr>
          <w:rFonts w:hint="eastAsia"/>
          <w:color w:val="auto"/>
          <w:highlight w:val="none"/>
        </w:rPr>
        <w:t>在</w:t>
      </w:r>
      <w:r>
        <w:rPr>
          <w:rFonts w:hint="eastAsia"/>
          <w:color w:val="auto"/>
          <w:highlight w:val="none"/>
          <w:lang w:eastAsia="zh-CN"/>
        </w:rPr>
        <w:t>医院方</w:t>
      </w:r>
      <w:r>
        <w:rPr>
          <w:rFonts w:hint="eastAsia"/>
          <w:color w:val="auto"/>
          <w:highlight w:val="none"/>
        </w:rPr>
        <w:t>提出硬件故障（设备、设备模块等）更换需求后，应于收到</w:t>
      </w:r>
      <w:r>
        <w:rPr>
          <w:rFonts w:hint="eastAsia"/>
          <w:color w:val="auto"/>
          <w:highlight w:val="none"/>
          <w:lang w:eastAsia="zh-CN"/>
        </w:rPr>
        <w:t>医院方</w:t>
      </w:r>
      <w:r>
        <w:rPr>
          <w:rFonts w:hint="eastAsia"/>
          <w:color w:val="auto"/>
          <w:highlight w:val="none"/>
        </w:rPr>
        <w:t>更换需求后8小时内完成服务，如有特殊情况，需提前和</w:t>
      </w:r>
      <w:r>
        <w:rPr>
          <w:rFonts w:hint="eastAsia"/>
          <w:color w:val="auto"/>
          <w:highlight w:val="none"/>
          <w:lang w:eastAsia="zh-CN"/>
        </w:rPr>
        <w:t>医院方</w:t>
      </w:r>
      <w:r>
        <w:rPr>
          <w:rFonts w:hint="eastAsia"/>
          <w:color w:val="auto"/>
          <w:highlight w:val="none"/>
        </w:rPr>
        <w:t>作情况说明。</w:t>
      </w:r>
    </w:p>
    <w:p w14:paraId="3966FAA9">
      <w:pPr>
        <w:numPr>
          <w:ilvl w:val="0"/>
          <w:numId w:val="2"/>
        </w:numPr>
        <w:spacing w:line="360" w:lineRule="auto"/>
        <w:ind w:left="0" w:leftChars="0" w:firstLine="420" w:firstLineChars="0"/>
        <w:jc w:val="left"/>
        <w:rPr>
          <w:color w:val="auto"/>
          <w:highlight w:val="none"/>
        </w:rPr>
      </w:pPr>
      <w:bookmarkStart w:id="11" w:name="_Toc120955605"/>
      <w:bookmarkStart w:id="12" w:name="_Toc6474"/>
      <w:bookmarkStart w:id="13" w:name="_Toc71232214"/>
      <w:bookmarkStart w:id="14" w:name="_Toc225234530"/>
      <w:r>
        <w:rPr>
          <w:rFonts w:hint="eastAsia" w:ascii="宋体" w:hAnsi="宋体" w:eastAsia="宋体" w:cs="宋体"/>
          <w:b/>
          <w:color w:val="auto"/>
          <w:kern w:val="2"/>
          <w:sz w:val="24"/>
          <w:szCs w:val="24"/>
          <w:highlight w:val="none"/>
          <w:lang w:val="en-US" w:eastAsia="zh-CN" w:bidi="ar-SA"/>
        </w:rPr>
        <w:t>电话技术支持服务</w:t>
      </w:r>
      <w:bookmarkEnd w:id="11"/>
      <w:bookmarkEnd w:id="12"/>
      <w:bookmarkEnd w:id="13"/>
      <w:bookmarkEnd w:id="14"/>
    </w:p>
    <w:p w14:paraId="11BD4E59">
      <w:pPr>
        <w:ind w:firstLine="420"/>
        <w:rPr>
          <w:color w:val="auto"/>
          <w:highlight w:val="none"/>
        </w:rPr>
      </w:pPr>
      <w:r>
        <w:rPr>
          <w:rFonts w:hint="eastAsia"/>
          <w:color w:val="auto"/>
          <w:highlight w:val="none"/>
        </w:rPr>
        <w:t>提供7×24小时无间断的问题解决及咨询服务，支持渠道包括但不限于现场、QQ群、企业微信、微信群等。保证</w:t>
      </w:r>
      <w:r>
        <w:rPr>
          <w:rFonts w:hint="eastAsia"/>
          <w:color w:val="auto"/>
          <w:highlight w:val="none"/>
          <w:lang w:eastAsia="zh-CN"/>
        </w:rPr>
        <w:t>医院方</w:t>
      </w:r>
      <w:r>
        <w:rPr>
          <w:rFonts w:hint="eastAsia"/>
          <w:color w:val="auto"/>
          <w:highlight w:val="none"/>
        </w:rPr>
        <w:t>获得设备日常维护的技术支持，保证</w:t>
      </w:r>
      <w:r>
        <w:rPr>
          <w:rFonts w:hint="eastAsia"/>
          <w:color w:val="auto"/>
          <w:highlight w:val="none"/>
          <w:lang w:eastAsia="zh-CN"/>
        </w:rPr>
        <w:t>医院方</w:t>
      </w:r>
      <w:r>
        <w:rPr>
          <w:rFonts w:hint="eastAsia"/>
          <w:color w:val="auto"/>
          <w:highlight w:val="none"/>
        </w:rPr>
        <w:t>关于设备的技术性问题得到及时、有效的解答。</w:t>
      </w:r>
    </w:p>
    <w:p w14:paraId="04FFC94F">
      <w:pPr>
        <w:numPr>
          <w:ilvl w:val="0"/>
          <w:numId w:val="2"/>
        </w:numPr>
        <w:spacing w:line="360" w:lineRule="auto"/>
        <w:ind w:left="0" w:leftChars="0" w:firstLine="420" w:firstLineChars="0"/>
        <w:jc w:val="left"/>
        <w:rPr>
          <w:rFonts w:hint="eastAsia" w:ascii="宋体" w:hAnsi="宋体" w:eastAsia="宋体" w:cs="宋体"/>
          <w:b/>
          <w:color w:val="auto"/>
          <w:kern w:val="2"/>
          <w:sz w:val="24"/>
          <w:szCs w:val="24"/>
          <w:highlight w:val="none"/>
          <w:lang w:val="en-US" w:eastAsia="zh-CN" w:bidi="ar-SA"/>
        </w:rPr>
      </w:pPr>
      <w:bookmarkStart w:id="15" w:name="_Toc12599"/>
      <w:bookmarkStart w:id="16" w:name="_Toc71232223"/>
      <w:bookmarkStart w:id="17" w:name="_Toc120955600"/>
      <w:r>
        <w:rPr>
          <w:rFonts w:hint="eastAsia" w:ascii="宋体" w:hAnsi="宋体" w:eastAsia="宋体" w:cs="宋体"/>
          <w:b/>
          <w:color w:val="auto"/>
          <w:kern w:val="2"/>
          <w:sz w:val="24"/>
          <w:szCs w:val="24"/>
          <w:highlight w:val="none"/>
          <w:lang w:val="en-US" w:eastAsia="zh-CN" w:bidi="ar-SA"/>
        </w:rPr>
        <w:t>现场服务</w:t>
      </w:r>
      <w:bookmarkEnd w:id="15"/>
      <w:bookmarkEnd w:id="16"/>
      <w:bookmarkEnd w:id="17"/>
    </w:p>
    <w:p w14:paraId="3BEC5CFF">
      <w:pPr>
        <w:pStyle w:val="9"/>
        <w:snapToGrid w:val="0"/>
        <w:rPr>
          <w:rFonts w:hAnsi="宋体" w:cstheme="minorEastAsia"/>
          <w:color w:val="auto"/>
          <w:szCs w:val="30"/>
          <w:highlight w:val="none"/>
        </w:rPr>
      </w:pPr>
      <w:r>
        <w:rPr>
          <w:rFonts w:hint="eastAsia" w:hAnsi="宋体" w:cstheme="minorEastAsia"/>
          <w:color w:val="auto"/>
          <w:szCs w:val="30"/>
          <w:highlight w:val="none"/>
        </w:rPr>
        <w:tab/>
      </w:r>
      <w:r>
        <w:rPr>
          <w:rFonts w:hint="eastAsia" w:hAnsi="宋体" w:cstheme="minorEastAsia"/>
          <w:color w:val="auto"/>
          <w:szCs w:val="30"/>
          <w:highlight w:val="none"/>
        </w:rPr>
        <w:t>对于通过电话支持和远程支持都不能解决的设备故障，应迅速提供现场支持服务，安排经验丰富的技术支持工程师赴现场分析故障原因，制定故障解决方案，并最终排除故障。</w:t>
      </w:r>
    </w:p>
    <w:p w14:paraId="6B520C2E">
      <w:pPr>
        <w:numPr>
          <w:ilvl w:val="0"/>
          <w:numId w:val="5"/>
        </w:numPr>
        <w:ind w:left="0" w:leftChars="0" w:firstLine="420" w:firstLineChars="200"/>
        <w:rPr>
          <w:rFonts w:hint="eastAsia"/>
          <w:color w:val="auto"/>
          <w:highlight w:val="none"/>
        </w:rPr>
      </w:pPr>
      <w:r>
        <w:rPr>
          <w:rFonts w:hint="eastAsia"/>
          <w:color w:val="auto"/>
          <w:highlight w:val="none"/>
        </w:rPr>
        <w:t>服务人员在进行现场支持服务前应作好以下准备：</w:t>
      </w:r>
    </w:p>
    <w:p w14:paraId="298049F1">
      <w:pPr>
        <w:pStyle w:val="9"/>
        <w:numPr>
          <w:ilvl w:val="0"/>
          <w:numId w:val="6"/>
        </w:numPr>
        <w:snapToGrid w:val="0"/>
        <w:ind w:left="0" w:leftChars="0" w:firstLine="420" w:firstLineChars="200"/>
        <w:rPr>
          <w:rFonts w:hAnsi="宋体" w:cstheme="minorEastAsia"/>
          <w:color w:val="auto"/>
          <w:szCs w:val="30"/>
          <w:highlight w:val="none"/>
        </w:rPr>
      </w:pPr>
      <w:r>
        <w:rPr>
          <w:rFonts w:hint="eastAsia" w:hAnsi="宋体" w:cstheme="minorEastAsia"/>
          <w:color w:val="auto"/>
          <w:szCs w:val="30"/>
          <w:highlight w:val="none"/>
        </w:rPr>
        <w:t>查阅</w:t>
      </w:r>
      <w:r>
        <w:rPr>
          <w:rFonts w:hint="eastAsia" w:hAnsi="宋体" w:cstheme="minorEastAsia"/>
          <w:color w:val="auto"/>
          <w:szCs w:val="30"/>
          <w:highlight w:val="none"/>
          <w:lang w:eastAsia="zh-CN"/>
        </w:rPr>
        <w:t>医院方</w:t>
      </w:r>
      <w:r>
        <w:rPr>
          <w:rFonts w:hint="eastAsia" w:hAnsi="宋体" w:cstheme="minorEastAsia"/>
          <w:color w:val="auto"/>
          <w:szCs w:val="30"/>
          <w:highlight w:val="none"/>
        </w:rPr>
        <w:t>操作日志，了解</w:t>
      </w:r>
      <w:r>
        <w:rPr>
          <w:rFonts w:hint="eastAsia" w:hAnsi="宋体" w:cstheme="minorEastAsia"/>
          <w:color w:val="auto"/>
          <w:szCs w:val="30"/>
          <w:highlight w:val="none"/>
          <w:lang w:eastAsia="zh-CN"/>
        </w:rPr>
        <w:t>医院方</w:t>
      </w:r>
      <w:r>
        <w:rPr>
          <w:rFonts w:hint="eastAsia" w:hAnsi="宋体" w:cstheme="minorEastAsia"/>
          <w:color w:val="auto"/>
          <w:szCs w:val="30"/>
          <w:highlight w:val="none"/>
        </w:rPr>
        <w:t>设备运行情况及设备以往所发生过的问题及处理办法</w:t>
      </w:r>
      <w:r>
        <w:rPr>
          <w:rFonts w:hint="eastAsia" w:hAnsi="宋体" w:cstheme="minorEastAsia"/>
          <w:color w:val="auto"/>
          <w:szCs w:val="30"/>
          <w:highlight w:val="none"/>
          <w:lang w:eastAsia="zh-CN"/>
        </w:rPr>
        <w:t>。</w:t>
      </w:r>
    </w:p>
    <w:p w14:paraId="2E98C310">
      <w:pPr>
        <w:pStyle w:val="9"/>
        <w:numPr>
          <w:ilvl w:val="0"/>
          <w:numId w:val="6"/>
        </w:numPr>
        <w:snapToGrid w:val="0"/>
        <w:ind w:left="0" w:leftChars="0" w:firstLine="420" w:firstLineChars="200"/>
        <w:rPr>
          <w:rFonts w:hAnsi="宋体" w:cstheme="minorEastAsia"/>
          <w:color w:val="auto"/>
          <w:szCs w:val="30"/>
          <w:highlight w:val="none"/>
        </w:rPr>
      </w:pPr>
      <w:r>
        <w:rPr>
          <w:rFonts w:hint="eastAsia" w:hAnsi="宋体" w:cstheme="minorEastAsia"/>
          <w:color w:val="auto"/>
          <w:szCs w:val="30"/>
          <w:highlight w:val="none"/>
        </w:rPr>
        <w:t>准备技术服务工具、技术服务资料、交通工具、必要的备板备件及软件。</w:t>
      </w:r>
    </w:p>
    <w:p w14:paraId="70AE5E36">
      <w:pPr>
        <w:numPr>
          <w:ilvl w:val="0"/>
          <w:numId w:val="5"/>
        </w:numPr>
        <w:ind w:left="0" w:leftChars="0" w:firstLine="420" w:firstLineChars="200"/>
        <w:rPr>
          <w:rFonts w:hint="eastAsia"/>
          <w:color w:val="auto"/>
          <w:highlight w:val="none"/>
        </w:rPr>
      </w:pPr>
      <w:r>
        <w:rPr>
          <w:rFonts w:hint="eastAsia"/>
          <w:color w:val="auto"/>
          <w:highlight w:val="none"/>
        </w:rPr>
        <w:t xml:space="preserve">了解设备运行情况，核实故障现象，并根据故障现象对设备进行故障分析、测试、诊断，并制定业务恢复和故障解决技术方案。须保证优先实施业务恢复，在恢复业务的前提下，再进行彻底的故障修复。 </w:t>
      </w:r>
    </w:p>
    <w:p w14:paraId="66D80601">
      <w:pPr>
        <w:numPr>
          <w:ilvl w:val="0"/>
          <w:numId w:val="5"/>
        </w:numPr>
        <w:ind w:left="0" w:leftChars="0" w:firstLine="420" w:firstLineChars="200"/>
        <w:rPr>
          <w:rFonts w:hint="eastAsia"/>
          <w:color w:val="auto"/>
          <w:highlight w:val="none"/>
        </w:rPr>
      </w:pPr>
      <w:r>
        <w:rPr>
          <w:rFonts w:hint="eastAsia"/>
          <w:color w:val="auto"/>
          <w:highlight w:val="none"/>
        </w:rPr>
        <w:t>如确定为设备硬件故障，需在</w:t>
      </w:r>
      <w:r>
        <w:rPr>
          <w:rFonts w:hint="eastAsia"/>
          <w:color w:val="auto"/>
          <w:highlight w:val="none"/>
          <w:lang w:eastAsia="zh-CN"/>
        </w:rPr>
        <w:t>医院方</w:t>
      </w:r>
      <w:r>
        <w:rPr>
          <w:rFonts w:hint="eastAsia"/>
          <w:color w:val="auto"/>
          <w:highlight w:val="none"/>
        </w:rPr>
        <w:t>提供备用硬件（特殊情况下提供紧急硬件更换）情况下进行更换服务。如是设备固件故障，需免费为</w:t>
      </w:r>
      <w:r>
        <w:rPr>
          <w:rFonts w:hint="eastAsia"/>
          <w:color w:val="auto"/>
          <w:highlight w:val="none"/>
          <w:lang w:eastAsia="zh-CN"/>
        </w:rPr>
        <w:t>医院方</w:t>
      </w:r>
      <w:r>
        <w:rPr>
          <w:rFonts w:hint="eastAsia"/>
          <w:color w:val="auto"/>
          <w:highlight w:val="none"/>
        </w:rPr>
        <w:t>修复固件故障；如果无法修复，需免费提供重新安装服务。</w:t>
      </w:r>
    </w:p>
    <w:p w14:paraId="7C2FE404">
      <w:pPr>
        <w:numPr>
          <w:ilvl w:val="0"/>
          <w:numId w:val="5"/>
        </w:numPr>
        <w:ind w:left="0" w:leftChars="0" w:firstLine="420" w:firstLineChars="200"/>
        <w:rPr>
          <w:rFonts w:hint="eastAsia"/>
          <w:color w:val="auto"/>
          <w:highlight w:val="none"/>
        </w:rPr>
      </w:pPr>
      <w:r>
        <w:rPr>
          <w:rFonts w:hint="eastAsia"/>
          <w:color w:val="auto"/>
          <w:highlight w:val="none"/>
        </w:rPr>
        <w:t>服务人员在处理故障后，要向</w:t>
      </w:r>
      <w:r>
        <w:rPr>
          <w:rFonts w:hint="eastAsia"/>
          <w:color w:val="auto"/>
          <w:highlight w:val="none"/>
          <w:lang w:eastAsia="zh-CN"/>
        </w:rPr>
        <w:t>医院方</w:t>
      </w:r>
      <w:r>
        <w:rPr>
          <w:rFonts w:hint="eastAsia"/>
          <w:color w:val="auto"/>
          <w:highlight w:val="none"/>
        </w:rPr>
        <w:t>维护人员解释故障原因和解决方法，以及在日常维护中的预防措施。</w:t>
      </w:r>
    </w:p>
    <w:p w14:paraId="409BBC77">
      <w:pPr>
        <w:numPr>
          <w:ilvl w:val="0"/>
          <w:numId w:val="5"/>
        </w:numPr>
        <w:ind w:left="0" w:leftChars="0" w:firstLine="420" w:firstLineChars="200"/>
        <w:rPr>
          <w:rFonts w:hint="eastAsia"/>
          <w:color w:val="auto"/>
          <w:highlight w:val="none"/>
        </w:rPr>
      </w:pPr>
      <w:r>
        <w:rPr>
          <w:rFonts w:hint="eastAsia"/>
          <w:color w:val="auto"/>
          <w:highlight w:val="none"/>
        </w:rPr>
        <w:t>在故障处理完毕后，服务人员须得到</w:t>
      </w:r>
      <w:r>
        <w:rPr>
          <w:rFonts w:hint="eastAsia"/>
          <w:color w:val="auto"/>
          <w:highlight w:val="none"/>
          <w:lang w:eastAsia="zh-CN"/>
        </w:rPr>
        <w:t>医院方</w:t>
      </w:r>
      <w:r>
        <w:rPr>
          <w:rFonts w:hint="eastAsia"/>
          <w:color w:val="auto"/>
          <w:highlight w:val="none"/>
        </w:rPr>
        <w:t xml:space="preserve">主管人员的同意后方可离开现场。 </w:t>
      </w:r>
    </w:p>
    <w:p w14:paraId="126090A1">
      <w:pPr>
        <w:numPr>
          <w:ilvl w:val="0"/>
          <w:numId w:val="2"/>
        </w:numPr>
        <w:spacing w:line="360" w:lineRule="auto"/>
        <w:ind w:left="0" w:leftChars="0" w:firstLine="420" w:firstLineChars="0"/>
        <w:jc w:val="left"/>
        <w:rPr>
          <w:rFonts w:hint="eastAsia" w:ascii="宋体" w:hAnsi="宋体" w:eastAsia="宋体" w:cs="宋体"/>
          <w:b/>
          <w:color w:val="auto"/>
          <w:kern w:val="2"/>
          <w:sz w:val="24"/>
          <w:szCs w:val="24"/>
          <w:highlight w:val="none"/>
          <w:lang w:val="en-US" w:eastAsia="zh-CN" w:bidi="ar-SA"/>
        </w:rPr>
      </w:pPr>
      <w:bookmarkStart w:id="18" w:name="_Toc225234532"/>
      <w:bookmarkStart w:id="19" w:name="_Toc71232215"/>
      <w:bookmarkStart w:id="20" w:name="_Toc120955611"/>
      <w:bookmarkStart w:id="21" w:name="_Toc9295"/>
      <w:r>
        <w:rPr>
          <w:rFonts w:hint="eastAsia" w:ascii="宋体" w:hAnsi="宋体" w:eastAsia="宋体" w:cs="宋体"/>
          <w:b/>
          <w:color w:val="auto"/>
          <w:kern w:val="2"/>
          <w:sz w:val="24"/>
          <w:szCs w:val="24"/>
          <w:highlight w:val="none"/>
          <w:lang w:val="en-US" w:eastAsia="zh-CN" w:bidi="ar-SA"/>
        </w:rPr>
        <w:t>设备巡检服务</w:t>
      </w:r>
      <w:bookmarkEnd w:id="18"/>
      <w:bookmarkEnd w:id="19"/>
      <w:bookmarkEnd w:id="20"/>
      <w:bookmarkEnd w:id="21"/>
      <w:bookmarkStart w:id="22" w:name="_Toc120955612"/>
    </w:p>
    <w:p w14:paraId="65D2EF0D">
      <w:pPr>
        <w:numPr>
          <w:ilvl w:val="0"/>
          <w:numId w:val="7"/>
        </w:numPr>
        <w:ind w:left="0" w:leftChars="0" w:firstLine="420" w:firstLineChars="200"/>
        <w:rPr>
          <w:rFonts w:hint="eastAsia"/>
          <w:color w:val="auto"/>
          <w:highlight w:val="none"/>
        </w:rPr>
      </w:pPr>
      <w:bookmarkStart w:id="23" w:name="_Toc32527"/>
      <w:bookmarkStart w:id="24" w:name="_Toc71232216"/>
      <w:r>
        <w:rPr>
          <w:rFonts w:hint="eastAsia"/>
          <w:color w:val="auto"/>
          <w:highlight w:val="none"/>
        </w:rPr>
        <w:t>服务描述</w:t>
      </w:r>
      <w:bookmarkEnd w:id="22"/>
      <w:bookmarkEnd w:id="23"/>
      <w:bookmarkEnd w:id="24"/>
    </w:p>
    <w:p w14:paraId="6E9D6E1C">
      <w:pPr>
        <w:ind w:firstLine="420" w:firstLineChars="200"/>
        <w:rPr>
          <w:rFonts w:hint="eastAsia"/>
          <w:color w:val="auto"/>
          <w:highlight w:val="none"/>
          <w:lang w:eastAsia="zh-CN"/>
        </w:rPr>
      </w:pPr>
      <w:r>
        <w:rPr>
          <w:rFonts w:hint="eastAsia"/>
          <w:color w:val="auto"/>
          <w:highlight w:val="none"/>
        </w:rPr>
        <w:t>每</w:t>
      </w:r>
      <w:r>
        <w:rPr>
          <w:color w:val="auto"/>
          <w:highlight w:val="none"/>
        </w:rPr>
        <w:t>季度提供一次</w:t>
      </w:r>
      <w:r>
        <w:rPr>
          <w:rFonts w:hint="eastAsia"/>
          <w:color w:val="auto"/>
          <w:highlight w:val="none"/>
        </w:rPr>
        <w:t>对</w:t>
      </w:r>
      <w:r>
        <w:rPr>
          <w:color w:val="auto"/>
          <w:highlight w:val="none"/>
        </w:rPr>
        <w:t>设备及网络进行全面检查的巡检服务</w:t>
      </w:r>
      <w:r>
        <w:rPr>
          <w:rFonts w:hint="eastAsia"/>
          <w:color w:val="auto"/>
          <w:highlight w:val="none"/>
          <w:lang w:eastAsia="zh-CN"/>
        </w:rPr>
        <w:t>。</w:t>
      </w:r>
      <w:r>
        <w:rPr>
          <w:color w:val="auto"/>
          <w:highlight w:val="none"/>
        </w:rPr>
        <w:t>巡检可包括的内容如下（详细巡检计划及范围由</w:t>
      </w:r>
      <w:r>
        <w:rPr>
          <w:rFonts w:hint="eastAsia"/>
          <w:color w:val="auto"/>
          <w:highlight w:val="none"/>
          <w:lang w:val="en-US" w:eastAsia="zh-CN"/>
        </w:rPr>
        <w:t>成交服务商</w:t>
      </w:r>
      <w:r>
        <w:rPr>
          <w:color w:val="auto"/>
          <w:highlight w:val="none"/>
        </w:rPr>
        <w:t>与</w:t>
      </w:r>
      <w:r>
        <w:rPr>
          <w:rFonts w:hint="eastAsia"/>
          <w:color w:val="auto"/>
          <w:highlight w:val="none"/>
          <w:lang w:eastAsia="zh-CN"/>
        </w:rPr>
        <w:t>医院方</w:t>
      </w:r>
      <w:r>
        <w:rPr>
          <w:color w:val="auto"/>
          <w:highlight w:val="none"/>
        </w:rPr>
        <w:t>提前协商制定）：</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02"/>
        <w:gridCol w:w="2575"/>
        <w:gridCol w:w="2545"/>
        <w:gridCol w:w="2700"/>
      </w:tblGrid>
      <w:tr w14:paraId="62FF61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412" w:type="pct"/>
            <w:tcBorders>
              <w:bottom w:val="single" w:color="auto" w:sz="6" w:space="0"/>
            </w:tcBorders>
            <w:shd w:val="clear" w:color="auto" w:fill="FFFFFF" w:themeFill="background1"/>
          </w:tcPr>
          <w:p w14:paraId="00DCE4FD">
            <w:pPr>
              <w:autoSpaceDE w:val="0"/>
              <w:autoSpaceDN w:val="0"/>
              <w:adjustRightInd w:val="0"/>
              <w:jc w:val="center"/>
              <w:rPr>
                <w:rFonts w:ascii="宋体" w:hAnsi="宋体" w:cs="Tahoma"/>
                <w:b/>
                <w:bCs/>
                <w:color w:val="auto"/>
                <w:sz w:val="21"/>
                <w:szCs w:val="21"/>
                <w:highlight w:val="none"/>
              </w:rPr>
            </w:pPr>
            <w:r>
              <w:rPr>
                <w:rFonts w:ascii="宋体" w:hAnsi="宋体" w:cs="Tahoma"/>
                <w:b/>
                <w:bCs/>
                <w:color w:val="auto"/>
                <w:sz w:val="21"/>
                <w:szCs w:val="21"/>
                <w:highlight w:val="none"/>
              </w:rPr>
              <w:t>编号</w:t>
            </w:r>
          </w:p>
        </w:tc>
        <w:tc>
          <w:tcPr>
            <w:tcW w:w="4588" w:type="pct"/>
            <w:gridSpan w:val="3"/>
            <w:tcBorders>
              <w:bottom w:val="single" w:color="auto" w:sz="6" w:space="0"/>
            </w:tcBorders>
            <w:shd w:val="clear" w:color="auto" w:fill="FFFFFF" w:themeFill="background1"/>
          </w:tcPr>
          <w:p w14:paraId="3E899864">
            <w:pPr>
              <w:autoSpaceDE w:val="0"/>
              <w:autoSpaceDN w:val="0"/>
              <w:adjustRightInd w:val="0"/>
              <w:jc w:val="center"/>
              <w:rPr>
                <w:rFonts w:ascii="宋体" w:hAnsi="宋体" w:cs="Tahoma"/>
                <w:b/>
                <w:bCs/>
                <w:color w:val="auto"/>
                <w:sz w:val="21"/>
                <w:szCs w:val="21"/>
                <w:highlight w:val="none"/>
              </w:rPr>
            </w:pPr>
            <w:r>
              <w:rPr>
                <w:rFonts w:ascii="宋体" w:hAnsi="宋体" w:cs="Tahoma"/>
                <w:b/>
                <w:bCs/>
                <w:color w:val="auto"/>
                <w:sz w:val="21"/>
                <w:szCs w:val="21"/>
                <w:highlight w:val="none"/>
              </w:rPr>
              <w:t>巡检内容</w:t>
            </w:r>
          </w:p>
        </w:tc>
      </w:tr>
      <w:tr w14:paraId="765E00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restart"/>
            <w:tcBorders>
              <w:top w:val="single" w:color="auto" w:sz="6" w:space="0"/>
            </w:tcBorders>
            <w:vAlign w:val="center"/>
          </w:tcPr>
          <w:p w14:paraId="1F2A033F">
            <w:pPr>
              <w:autoSpaceDE w:val="0"/>
              <w:autoSpaceDN w:val="0"/>
              <w:adjustRightInd w:val="0"/>
              <w:jc w:val="center"/>
              <w:rPr>
                <w:rFonts w:ascii="宋体" w:hAnsi="宋体" w:cs="Tahoma"/>
                <w:color w:val="auto"/>
                <w:sz w:val="20"/>
                <w:szCs w:val="20"/>
                <w:highlight w:val="none"/>
              </w:rPr>
            </w:pPr>
            <w:r>
              <w:rPr>
                <w:rFonts w:ascii="宋体" w:hAnsi="宋体" w:cs="Tahoma"/>
                <w:color w:val="auto"/>
                <w:sz w:val="20"/>
                <w:szCs w:val="20"/>
                <w:highlight w:val="none"/>
              </w:rPr>
              <w:t>1</w:t>
            </w:r>
          </w:p>
        </w:tc>
        <w:tc>
          <w:tcPr>
            <w:tcW w:w="4588" w:type="pct"/>
            <w:gridSpan w:val="3"/>
            <w:tcBorders>
              <w:top w:val="single" w:color="auto" w:sz="6" w:space="0"/>
              <w:bottom w:val="single" w:color="auto" w:sz="6" w:space="0"/>
            </w:tcBorders>
          </w:tcPr>
          <w:p w14:paraId="215C81CB">
            <w:pPr>
              <w:autoSpaceDE w:val="0"/>
              <w:autoSpaceDN w:val="0"/>
              <w:adjustRightInd w:val="0"/>
              <w:jc w:val="center"/>
              <w:rPr>
                <w:rFonts w:ascii="宋体" w:hAnsi="宋体" w:cs="Tahoma"/>
                <w:color w:val="auto"/>
                <w:sz w:val="20"/>
                <w:szCs w:val="20"/>
                <w:highlight w:val="none"/>
              </w:rPr>
            </w:pPr>
            <w:r>
              <w:rPr>
                <w:rFonts w:ascii="宋体" w:hAnsi="宋体" w:cs="Tahoma"/>
                <w:b/>
                <w:bCs/>
                <w:color w:val="auto"/>
                <w:sz w:val="20"/>
                <w:szCs w:val="20"/>
                <w:highlight w:val="none"/>
              </w:rPr>
              <w:t>硬件运行状态检查项目</w:t>
            </w:r>
          </w:p>
        </w:tc>
      </w:tr>
      <w:tr w14:paraId="48BF4F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continue"/>
            <w:vAlign w:val="center"/>
          </w:tcPr>
          <w:p w14:paraId="3990F033">
            <w:pPr>
              <w:autoSpaceDE w:val="0"/>
              <w:autoSpaceDN w:val="0"/>
              <w:adjustRightInd w:val="0"/>
              <w:jc w:val="center"/>
              <w:rPr>
                <w:rFonts w:ascii="宋体" w:hAnsi="宋体" w:cs="Tahoma"/>
                <w:color w:val="auto"/>
                <w:sz w:val="20"/>
                <w:szCs w:val="20"/>
                <w:highlight w:val="none"/>
              </w:rPr>
            </w:pPr>
          </w:p>
        </w:tc>
        <w:tc>
          <w:tcPr>
            <w:tcW w:w="1511" w:type="pct"/>
            <w:tcBorders>
              <w:top w:val="single" w:color="auto" w:sz="6" w:space="0"/>
            </w:tcBorders>
          </w:tcPr>
          <w:p w14:paraId="238EF5A9">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单板状态检查</w:t>
            </w:r>
          </w:p>
        </w:tc>
        <w:tc>
          <w:tcPr>
            <w:tcW w:w="1493" w:type="pct"/>
            <w:tcBorders>
              <w:top w:val="single" w:color="auto" w:sz="6" w:space="0"/>
            </w:tcBorders>
          </w:tcPr>
          <w:p w14:paraId="245DBC1E">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电源模块状态检查</w:t>
            </w:r>
          </w:p>
        </w:tc>
        <w:tc>
          <w:tcPr>
            <w:tcW w:w="1584" w:type="pct"/>
            <w:tcBorders>
              <w:top w:val="single" w:color="auto" w:sz="6" w:space="0"/>
            </w:tcBorders>
          </w:tcPr>
          <w:p w14:paraId="07A9E0AF">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风扇状态检查</w:t>
            </w:r>
          </w:p>
        </w:tc>
      </w:tr>
      <w:tr w14:paraId="21DCE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continue"/>
            <w:vAlign w:val="center"/>
          </w:tcPr>
          <w:p w14:paraId="3B280975">
            <w:pPr>
              <w:autoSpaceDE w:val="0"/>
              <w:autoSpaceDN w:val="0"/>
              <w:adjustRightInd w:val="0"/>
              <w:jc w:val="center"/>
              <w:rPr>
                <w:rFonts w:ascii="宋体" w:hAnsi="宋体" w:cs="Tahoma"/>
                <w:color w:val="auto"/>
                <w:sz w:val="20"/>
                <w:szCs w:val="20"/>
                <w:highlight w:val="none"/>
              </w:rPr>
            </w:pPr>
          </w:p>
        </w:tc>
        <w:tc>
          <w:tcPr>
            <w:tcW w:w="1511" w:type="pct"/>
          </w:tcPr>
          <w:p w14:paraId="5A69EABB">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整机指示灯状态检查</w:t>
            </w:r>
          </w:p>
        </w:tc>
        <w:tc>
          <w:tcPr>
            <w:tcW w:w="1493" w:type="pct"/>
          </w:tcPr>
          <w:p w14:paraId="057037BA">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机框防尘网检查</w:t>
            </w:r>
          </w:p>
        </w:tc>
        <w:tc>
          <w:tcPr>
            <w:tcW w:w="1584" w:type="pct"/>
          </w:tcPr>
          <w:p w14:paraId="65B12E32">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机房温度、湿度检查</w:t>
            </w:r>
          </w:p>
        </w:tc>
      </w:tr>
      <w:tr w14:paraId="7627D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continue"/>
            <w:tcBorders>
              <w:bottom w:val="single" w:color="auto" w:sz="6" w:space="0"/>
            </w:tcBorders>
            <w:vAlign w:val="center"/>
          </w:tcPr>
          <w:p w14:paraId="26103FF3">
            <w:pPr>
              <w:autoSpaceDE w:val="0"/>
              <w:autoSpaceDN w:val="0"/>
              <w:adjustRightInd w:val="0"/>
              <w:jc w:val="center"/>
              <w:rPr>
                <w:rFonts w:ascii="宋体" w:hAnsi="宋体" w:cs="Tahoma"/>
                <w:color w:val="auto"/>
                <w:sz w:val="20"/>
                <w:szCs w:val="20"/>
                <w:highlight w:val="none"/>
              </w:rPr>
            </w:pPr>
          </w:p>
        </w:tc>
        <w:tc>
          <w:tcPr>
            <w:tcW w:w="1511" w:type="pct"/>
            <w:tcBorders>
              <w:bottom w:val="single" w:color="auto" w:sz="6" w:space="0"/>
            </w:tcBorders>
          </w:tcPr>
          <w:p w14:paraId="2D769C51">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设备地线检查</w:t>
            </w:r>
          </w:p>
        </w:tc>
        <w:tc>
          <w:tcPr>
            <w:tcW w:w="1493" w:type="pct"/>
            <w:tcBorders>
              <w:bottom w:val="single" w:color="auto" w:sz="6" w:space="0"/>
            </w:tcBorders>
          </w:tcPr>
          <w:p w14:paraId="0CE8C0E1">
            <w:pPr>
              <w:autoSpaceDE w:val="0"/>
              <w:autoSpaceDN w:val="0"/>
              <w:adjustRightInd w:val="0"/>
              <w:rPr>
                <w:rFonts w:ascii="宋体" w:hAnsi="宋体" w:cs="Tahoma"/>
                <w:color w:val="auto"/>
                <w:sz w:val="20"/>
                <w:szCs w:val="20"/>
                <w:highlight w:val="none"/>
              </w:rPr>
            </w:pPr>
          </w:p>
        </w:tc>
        <w:tc>
          <w:tcPr>
            <w:tcW w:w="1584" w:type="pct"/>
            <w:tcBorders>
              <w:bottom w:val="single" w:color="auto" w:sz="6" w:space="0"/>
            </w:tcBorders>
          </w:tcPr>
          <w:p w14:paraId="09C05FB1">
            <w:pPr>
              <w:autoSpaceDE w:val="0"/>
              <w:autoSpaceDN w:val="0"/>
              <w:adjustRightInd w:val="0"/>
              <w:rPr>
                <w:rFonts w:ascii="宋体" w:hAnsi="宋体" w:cs="Tahoma"/>
                <w:color w:val="auto"/>
                <w:sz w:val="20"/>
                <w:szCs w:val="20"/>
                <w:highlight w:val="none"/>
              </w:rPr>
            </w:pPr>
          </w:p>
        </w:tc>
      </w:tr>
      <w:tr w14:paraId="3670AD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restart"/>
            <w:tcBorders>
              <w:top w:val="single" w:color="auto" w:sz="6" w:space="0"/>
              <w:bottom w:val="single" w:color="auto" w:sz="6" w:space="0"/>
            </w:tcBorders>
            <w:vAlign w:val="center"/>
          </w:tcPr>
          <w:p w14:paraId="16CECC12">
            <w:pPr>
              <w:autoSpaceDE w:val="0"/>
              <w:autoSpaceDN w:val="0"/>
              <w:adjustRightInd w:val="0"/>
              <w:jc w:val="center"/>
              <w:rPr>
                <w:rFonts w:ascii="宋体" w:hAnsi="宋体" w:cs="Tahoma"/>
                <w:color w:val="auto"/>
                <w:sz w:val="20"/>
                <w:szCs w:val="20"/>
                <w:highlight w:val="none"/>
              </w:rPr>
            </w:pPr>
            <w:r>
              <w:rPr>
                <w:rFonts w:ascii="宋体" w:hAnsi="宋体" w:cs="Tahoma"/>
                <w:color w:val="auto"/>
                <w:sz w:val="20"/>
                <w:szCs w:val="20"/>
                <w:highlight w:val="none"/>
              </w:rPr>
              <w:t>2</w:t>
            </w:r>
          </w:p>
        </w:tc>
        <w:tc>
          <w:tcPr>
            <w:tcW w:w="4588" w:type="pct"/>
            <w:gridSpan w:val="3"/>
            <w:tcBorders>
              <w:top w:val="single" w:color="auto" w:sz="6" w:space="0"/>
              <w:bottom w:val="single" w:color="auto" w:sz="6" w:space="0"/>
            </w:tcBorders>
          </w:tcPr>
          <w:p w14:paraId="5AA7466F">
            <w:pPr>
              <w:autoSpaceDE w:val="0"/>
              <w:autoSpaceDN w:val="0"/>
              <w:adjustRightInd w:val="0"/>
              <w:jc w:val="center"/>
              <w:rPr>
                <w:rFonts w:ascii="宋体" w:hAnsi="宋体" w:cs="Tahoma"/>
                <w:color w:val="auto"/>
                <w:sz w:val="20"/>
                <w:szCs w:val="20"/>
                <w:highlight w:val="none"/>
              </w:rPr>
            </w:pPr>
            <w:r>
              <w:rPr>
                <w:rFonts w:ascii="宋体" w:hAnsi="宋体" w:cs="Tahoma"/>
                <w:b/>
                <w:bCs/>
                <w:color w:val="auto"/>
                <w:sz w:val="20"/>
                <w:szCs w:val="20"/>
                <w:highlight w:val="none"/>
              </w:rPr>
              <w:t>软件运行情况检查项目</w:t>
            </w:r>
          </w:p>
        </w:tc>
      </w:tr>
      <w:tr w14:paraId="1FF13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continue"/>
            <w:tcBorders>
              <w:top w:val="single" w:color="auto" w:sz="6" w:space="0"/>
            </w:tcBorders>
            <w:vAlign w:val="center"/>
          </w:tcPr>
          <w:p w14:paraId="484B0981">
            <w:pPr>
              <w:autoSpaceDE w:val="0"/>
              <w:autoSpaceDN w:val="0"/>
              <w:adjustRightInd w:val="0"/>
              <w:jc w:val="center"/>
              <w:rPr>
                <w:rFonts w:ascii="宋体" w:hAnsi="宋体" w:cs="Tahoma"/>
                <w:color w:val="auto"/>
                <w:sz w:val="20"/>
                <w:szCs w:val="20"/>
                <w:highlight w:val="none"/>
              </w:rPr>
            </w:pPr>
          </w:p>
        </w:tc>
        <w:tc>
          <w:tcPr>
            <w:tcW w:w="1511" w:type="pct"/>
            <w:tcBorders>
              <w:top w:val="single" w:color="auto" w:sz="6" w:space="0"/>
            </w:tcBorders>
          </w:tcPr>
          <w:p w14:paraId="5E994E1C">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设备运行情况检查</w:t>
            </w:r>
          </w:p>
        </w:tc>
        <w:tc>
          <w:tcPr>
            <w:tcW w:w="1493" w:type="pct"/>
            <w:tcBorders>
              <w:top w:val="single" w:color="auto" w:sz="6" w:space="0"/>
            </w:tcBorders>
          </w:tcPr>
          <w:p w14:paraId="380DAB43">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网络报文分析</w:t>
            </w:r>
          </w:p>
        </w:tc>
        <w:tc>
          <w:tcPr>
            <w:tcW w:w="1584" w:type="pct"/>
            <w:tcBorders>
              <w:top w:val="single" w:color="auto" w:sz="6" w:space="0"/>
            </w:tcBorders>
          </w:tcPr>
          <w:p w14:paraId="13F2DF6F">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设备对接运行状况检查</w:t>
            </w:r>
          </w:p>
        </w:tc>
      </w:tr>
      <w:tr w14:paraId="250B42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continue"/>
            <w:tcBorders>
              <w:bottom w:val="single" w:color="auto" w:sz="6" w:space="0"/>
            </w:tcBorders>
            <w:vAlign w:val="center"/>
          </w:tcPr>
          <w:p w14:paraId="15AB8685">
            <w:pPr>
              <w:autoSpaceDE w:val="0"/>
              <w:autoSpaceDN w:val="0"/>
              <w:adjustRightInd w:val="0"/>
              <w:jc w:val="center"/>
              <w:rPr>
                <w:rFonts w:ascii="宋体" w:hAnsi="宋体" w:cs="Tahoma"/>
                <w:color w:val="auto"/>
                <w:sz w:val="20"/>
                <w:szCs w:val="20"/>
                <w:highlight w:val="none"/>
              </w:rPr>
            </w:pPr>
          </w:p>
        </w:tc>
        <w:tc>
          <w:tcPr>
            <w:tcW w:w="1511" w:type="pct"/>
            <w:tcBorders>
              <w:bottom w:val="single" w:color="auto" w:sz="6" w:space="0"/>
            </w:tcBorders>
          </w:tcPr>
          <w:p w14:paraId="251149F6">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路由运行情况检查</w:t>
            </w:r>
          </w:p>
        </w:tc>
        <w:tc>
          <w:tcPr>
            <w:tcW w:w="1493" w:type="pct"/>
            <w:tcBorders>
              <w:bottom w:val="single" w:color="auto" w:sz="6" w:space="0"/>
            </w:tcBorders>
          </w:tcPr>
          <w:p w14:paraId="6C3D29A3">
            <w:pPr>
              <w:autoSpaceDE w:val="0"/>
              <w:autoSpaceDN w:val="0"/>
              <w:adjustRightInd w:val="0"/>
              <w:rPr>
                <w:rFonts w:ascii="宋体" w:hAnsi="宋体" w:cs="Tahoma"/>
                <w:color w:val="auto"/>
                <w:sz w:val="20"/>
                <w:szCs w:val="20"/>
                <w:highlight w:val="none"/>
              </w:rPr>
            </w:pPr>
          </w:p>
        </w:tc>
        <w:tc>
          <w:tcPr>
            <w:tcW w:w="1584" w:type="pct"/>
            <w:tcBorders>
              <w:bottom w:val="single" w:color="auto" w:sz="6" w:space="0"/>
            </w:tcBorders>
          </w:tcPr>
          <w:p w14:paraId="2EA5E3A9">
            <w:pPr>
              <w:autoSpaceDE w:val="0"/>
              <w:autoSpaceDN w:val="0"/>
              <w:adjustRightInd w:val="0"/>
              <w:rPr>
                <w:rFonts w:ascii="宋体" w:hAnsi="宋体" w:cs="Tahoma"/>
                <w:color w:val="auto"/>
                <w:sz w:val="20"/>
                <w:szCs w:val="20"/>
                <w:highlight w:val="none"/>
              </w:rPr>
            </w:pPr>
          </w:p>
        </w:tc>
      </w:tr>
      <w:tr w14:paraId="26A9BF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restart"/>
            <w:tcBorders>
              <w:top w:val="single" w:color="auto" w:sz="6" w:space="0"/>
              <w:bottom w:val="single" w:color="auto" w:sz="6" w:space="0"/>
            </w:tcBorders>
            <w:vAlign w:val="center"/>
          </w:tcPr>
          <w:p w14:paraId="2F122789">
            <w:pPr>
              <w:autoSpaceDE w:val="0"/>
              <w:autoSpaceDN w:val="0"/>
              <w:adjustRightInd w:val="0"/>
              <w:jc w:val="center"/>
              <w:rPr>
                <w:rFonts w:ascii="宋体" w:hAnsi="宋体" w:cs="Tahoma"/>
                <w:color w:val="auto"/>
                <w:sz w:val="20"/>
                <w:szCs w:val="20"/>
                <w:highlight w:val="none"/>
              </w:rPr>
            </w:pPr>
            <w:r>
              <w:rPr>
                <w:rFonts w:ascii="宋体" w:hAnsi="宋体" w:cs="Tahoma"/>
                <w:color w:val="auto"/>
                <w:sz w:val="20"/>
                <w:szCs w:val="20"/>
                <w:highlight w:val="none"/>
              </w:rPr>
              <w:t>3</w:t>
            </w:r>
          </w:p>
        </w:tc>
        <w:tc>
          <w:tcPr>
            <w:tcW w:w="4588" w:type="pct"/>
            <w:gridSpan w:val="3"/>
            <w:tcBorders>
              <w:top w:val="single" w:color="auto" w:sz="6" w:space="0"/>
              <w:bottom w:val="single" w:color="auto" w:sz="6" w:space="0"/>
            </w:tcBorders>
          </w:tcPr>
          <w:p w14:paraId="45376BED">
            <w:pPr>
              <w:autoSpaceDE w:val="0"/>
              <w:autoSpaceDN w:val="0"/>
              <w:adjustRightInd w:val="0"/>
              <w:jc w:val="center"/>
              <w:rPr>
                <w:rFonts w:ascii="宋体" w:hAnsi="宋体" w:cs="Tahoma"/>
                <w:color w:val="auto"/>
                <w:sz w:val="20"/>
                <w:szCs w:val="20"/>
                <w:highlight w:val="none"/>
              </w:rPr>
            </w:pPr>
            <w:r>
              <w:rPr>
                <w:rFonts w:ascii="宋体" w:hAnsi="宋体" w:cs="Tahoma"/>
                <w:b/>
                <w:bCs/>
                <w:color w:val="auto"/>
                <w:sz w:val="20"/>
                <w:szCs w:val="20"/>
                <w:highlight w:val="none"/>
              </w:rPr>
              <w:t>网络整体运行情况调查</w:t>
            </w:r>
          </w:p>
        </w:tc>
      </w:tr>
      <w:tr w14:paraId="226F1C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12" w:type="pct"/>
            <w:vMerge w:val="continue"/>
            <w:tcBorders>
              <w:top w:val="single" w:color="auto" w:sz="6" w:space="0"/>
            </w:tcBorders>
          </w:tcPr>
          <w:p w14:paraId="75131CF7">
            <w:pPr>
              <w:autoSpaceDE w:val="0"/>
              <w:autoSpaceDN w:val="0"/>
              <w:adjustRightInd w:val="0"/>
              <w:rPr>
                <w:rFonts w:ascii="宋体" w:hAnsi="宋体" w:cs="Tahoma"/>
                <w:color w:val="auto"/>
                <w:sz w:val="20"/>
                <w:szCs w:val="20"/>
                <w:highlight w:val="none"/>
              </w:rPr>
            </w:pPr>
          </w:p>
        </w:tc>
        <w:tc>
          <w:tcPr>
            <w:tcW w:w="1511" w:type="pct"/>
            <w:tcBorders>
              <w:top w:val="single" w:color="auto" w:sz="6" w:space="0"/>
            </w:tcBorders>
          </w:tcPr>
          <w:p w14:paraId="3070AB18">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网络运行问题调查</w:t>
            </w:r>
          </w:p>
        </w:tc>
        <w:tc>
          <w:tcPr>
            <w:tcW w:w="1493" w:type="pct"/>
            <w:tcBorders>
              <w:top w:val="single" w:color="auto" w:sz="6" w:space="0"/>
            </w:tcBorders>
          </w:tcPr>
          <w:p w14:paraId="032B9DCA">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网络变更情况调查</w:t>
            </w:r>
          </w:p>
        </w:tc>
        <w:tc>
          <w:tcPr>
            <w:tcW w:w="1584" w:type="pct"/>
            <w:tcBorders>
              <w:top w:val="single" w:color="auto" w:sz="6" w:space="0"/>
            </w:tcBorders>
          </w:tcPr>
          <w:p w14:paraId="54B52F7E">
            <w:pPr>
              <w:autoSpaceDE w:val="0"/>
              <w:autoSpaceDN w:val="0"/>
              <w:adjustRightInd w:val="0"/>
              <w:rPr>
                <w:rFonts w:ascii="宋体" w:hAnsi="宋体" w:cs="Tahoma"/>
                <w:color w:val="auto"/>
                <w:sz w:val="20"/>
                <w:szCs w:val="20"/>
                <w:highlight w:val="none"/>
              </w:rPr>
            </w:pPr>
            <w:r>
              <w:rPr>
                <w:rFonts w:ascii="宋体" w:hAnsi="宋体" w:cs="Tahoma"/>
                <w:color w:val="auto"/>
                <w:sz w:val="20"/>
                <w:szCs w:val="20"/>
                <w:highlight w:val="none"/>
              </w:rPr>
              <w:t>网络历史故障调查</w:t>
            </w:r>
          </w:p>
        </w:tc>
      </w:tr>
      <w:tr w14:paraId="05725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4" w:hRule="atLeast"/>
        </w:trPr>
        <w:tc>
          <w:tcPr>
            <w:tcW w:w="5000" w:type="pct"/>
            <w:gridSpan w:val="4"/>
          </w:tcPr>
          <w:p w14:paraId="719C4153">
            <w:pPr>
              <w:autoSpaceDE w:val="0"/>
              <w:autoSpaceDN w:val="0"/>
              <w:adjustRightInd w:val="0"/>
              <w:jc w:val="center"/>
              <w:rPr>
                <w:rFonts w:ascii="宋体" w:hAnsi="宋体" w:cs="Tahoma"/>
                <w:i/>
                <w:color w:val="auto"/>
                <w:sz w:val="20"/>
                <w:szCs w:val="20"/>
                <w:highlight w:val="none"/>
              </w:rPr>
            </w:pPr>
            <w:r>
              <w:rPr>
                <w:rFonts w:ascii="宋体" w:hAnsi="宋体" w:cs="Tahoma"/>
                <w:i/>
                <w:color w:val="auto"/>
                <w:sz w:val="20"/>
                <w:szCs w:val="20"/>
                <w:highlight w:val="none"/>
              </w:rPr>
              <w:t>以上巡检内容根据设备具体情况会有所不同</w:t>
            </w:r>
          </w:p>
        </w:tc>
      </w:tr>
    </w:tbl>
    <w:p w14:paraId="6D72C941">
      <w:pPr>
        <w:pStyle w:val="9"/>
        <w:snapToGrid w:val="0"/>
        <w:ind w:firstLine="420" w:firstLineChars="200"/>
        <w:rPr>
          <w:rFonts w:hAnsi="宋体" w:cstheme="minorEastAsia"/>
          <w:color w:val="auto"/>
          <w:szCs w:val="30"/>
          <w:highlight w:val="none"/>
        </w:rPr>
      </w:pPr>
    </w:p>
    <w:p w14:paraId="1371CF73">
      <w:pPr>
        <w:numPr>
          <w:ilvl w:val="0"/>
          <w:numId w:val="7"/>
        </w:numPr>
        <w:ind w:left="0" w:leftChars="0" w:firstLine="420" w:firstLineChars="200"/>
        <w:rPr>
          <w:rFonts w:hint="eastAsia"/>
          <w:color w:val="auto"/>
          <w:highlight w:val="none"/>
        </w:rPr>
      </w:pPr>
      <w:bookmarkStart w:id="25" w:name="_Toc120955613"/>
      <w:bookmarkStart w:id="26" w:name="_Toc71232217"/>
      <w:bookmarkStart w:id="27" w:name="_Toc28562"/>
      <w:r>
        <w:rPr>
          <w:rFonts w:hint="eastAsia"/>
          <w:color w:val="auto"/>
          <w:highlight w:val="none"/>
        </w:rPr>
        <w:t>服务</w:t>
      </w:r>
      <w:bookmarkEnd w:id="25"/>
      <w:r>
        <w:rPr>
          <w:rFonts w:hint="eastAsia"/>
          <w:color w:val="auto"/>
          <w:highlight w:val="none"/>
        </w:rPr>
        <w:t>内容</w:t>
      </w:r>
      <w:bookmarkEnd w:id="26"/>
      <w:bookmarkEnd w:id="27"/>
    </w:p>
    <w:p w14:paraId="6C88FC36">
      <w:pPr>
        <w:pStyle w:val="9"/>
        <w:numPr>
          <w:ilvl w:val="0"/>
          <w:numId w:val="8"/>
        </w:numPr>
        <w:snapToGrid w:val="0"/>
        <w:ind w:left="0" w:leftChars="0" w:firstLine="420" w:firstLineChars="200"/>
        <w:rPr>
          <w:rFonts w:hint="eastAsia" w:hAnsi="宋体" w:cstheme="minorEastAsia"/>
          <w:color w:val="auto"/>
          <w:szCs w:val="30"/>
          <w:highlight w:val="none"/>
        </w:rPr>
      </w:pPr>
      <w:r>
        <w:rPr>
          <w:rFonts w:hint="eastAsia" w:hAnsi="宋体" w:cstheme="minorEastAsia"/>
          <w:color w:val="auto"/>
          <w:szCs w:val="30"/>
          <w:highlight w:val="none"/>
        </w:rPr>
        <w:t>定期检查网络环境，设备工作状态检查、网络核心网元检查、网络接入网元检查、警告信息检查处理、网络日志检查、网络故障隐患排查；</w:t>
      </w:r>
    </w:p>
    <w:p w14:paraId="1A2A039C">
      <w:pPr>
        <w:pStyle w:val="9"/>
        <w:numPr>
          <w:ilvl w:val="0"/>
          <w:numId w:val="8"/>
        </w:numPr>
        <w:snapToGrid w:val="0"/>
        <w:ind w:left="0" w:leftChars="0" w:firstLine="420" w:firstLineChars="200"/>
        <w:rPr>
          <w:rFonts w:hint="eastAsia" w:hAnsi="宋体" w:cstheme="minorEastAsia"/>
          <w:color w:val="auto"/>
          <w:szCs w:val="30"/>
          <w:highlight w:val="none"/>
        </w:rPr>
      </w:pPr>
      <w:r>
        <w:rPr>
          <w:rFonts w:hint="eastAsia" w:hAnsi="宋体" w:cstheme="minorEastAsia"/>
          <w:color w:val="auto"/>
          <w:szCs w:val="30"/>
          <w:highlight w:val="none"/>
        </w:rPr>
        <w:t>对网络环境做安全检查，定期给</w:t>
      </w:r>
      <w:r>
        <w:rPr>
          <w:rFonts w:hint="eastAsia" w:hAnsi="宋体" w:cstheme="minorEastAsia"/>
          <w:color w:val="auto"/>
          <w:szCs w:val="30"/>
          <w:highlight w:val="none"/>
          <w:lang w:eastAsia="zh-CN"/>
        </w:rPr>
        <w:t>医院方</w:t>
      </w:r>
      <w:r>
        <w:rPr>
          <w:rFonts w:hint="eastAsia" w:hAnsi="宋体" w:cstheme="minorEastAsia"/>
          <w:color w:val="auto"/>
          <w:szCs w:val="30"/>
          <w:highlight w:val="none"/>
        </w:rPr>
        <w:t>网络进行性能分析、安全检查、链路宽带利用率；</w:t>
      </w:r>
    </w:p>
    <w:p w14:paraId="021112C5">
      <w:pPr>
        <w:pStyle w:val="9"/>
        <w:numPr>
          <w:ilvl w:val="0"/>
          <w:numId w:val="8"/>
        </w:numPr>
        <w:snapToGrid w:val="0"/>
        <w:ind w:left="0" w:leftChars="0" w:firstLine="420" w:firstLineChars="200"/>
        <w:rPr>
          <w:rFonts w:hint="eastAsia" w:hAnsi="宋体" w:cstheme="minorEastAsia"/>
          <w:color w:val="auto"/>
          <w:szCs w:val="30"/>
          <w:highlight w:val="none"/>
        </w:rPr>
      </w:pPr>
      <w:r>
        <w:rPr>
          <w:rFonts w:hint="eastAsia" w:hAnsi="宋体" w:cstheme="minorEastAsia"/>
          <w:color w:val="auto"/>
          <w:szCs w:val="30"/>
          <w:highlight w:val="none"/>
        </w:rPr>
        <w:t>对网络环境做优化策略，优化网络冗余配置、路由表、参数</w:t>
      </w:r>
      <w:r>
        <w:rPr>
          <w:rFonts w:hint="eastAsia" w:hAnsi="宋体" w:cstheme="minorEastAsia"/>
          <w:color w:val="auto"/>
          <w:szCs w:val="30"/>
          <w:highlight w:val="none"/>
          <w:lang w:eastAsia="zh-CN"/>
        </w:rPr>
        <w:t>；</w:t>
      </w:r>
    </w:p>
    <w:p w14:paraId="7C3BB0E8">
      <w:pPr>
        <w:pStyle w:val="9"/>
        <w:numPr>
          <w:ilvl w:val="0"/>
          <w:numId w:val="8"/>
        </w:numPr>
        <w:snapToGrid w:val="0"/>
        <w:ind w:left="0" w:leftChars="0" w:firstLine="420" w:firstLineChars="200"/>
        <w:rPr>
          <w:rFonts w:hint="eastAsia" w:hAnsi="宋体" w:cstheme="minorEastAsia"/>
          <w:color w:val="auto"/>
          <w:szCs w:val="30"/>
          <w:highlight w:val="none"/>
        </w:rPr>
      </w:pPr>
      <w:r>
        <w:rPr>
          <w:rFonts w:hint="eastAsia" w:hAnsi="宋体" w:cstheme="minorEastAsia"/>
          <w:color w:val="auto"/>
          <w:szCs w:val="30"/>
          <w:highlight w:val="none"/>
        </w:rPr>
        <w:t>网络流量分析及监控，日志分析</w:t>
      </w:r>
      <w:r>
        <w:rPr>
          <w:rFonts w:hint="eastAsia" w:hAnsi="宋体" w:cstheme="minorEastAsia"/>
          <w:color w:val="auto"/>
          <w:szCs w:val="30"/>
          <w:highlight w:val="none"/>
          <w:lang w:eastAsia="zh-CN"/>
        </w:rPr>
        <w:t>；</w:t>
      </w:r>
    </w:p>
    <w:p w14:paraId="46690682">
      <w:pPr>
        <w:pStyle w:val="9"/>
        <w:numPr>
          <w:ilvl w:val="0"/>
          <w:numId w:val="8"/>
        </w:numPr>
        <w:snapToGrid w:val="0"/>
        <w:ind w:left="0" w:leftChars="0" w:firstLine="420" w:firstLineChars="200"/>
        <w:rPr>
          <w:rFonts w:hint="eastAsia" w:hAnsi="宋体" w:cstheme="minorEastAsia"/>
          <w:color w:val="auto"/>
          <w:szCs w:val="30"/>
          <w:highlight w:val="none"/>
        </w:rPr>
      </w:pPr>
      <w:r>
        <w:rPr>
          <w:rFonts w:hint="eastAsia" w:hAnsi="宋体" w:cstheme="minorEastAsia"/>
          <w:color w:val="auto"/>
          <w:szCs w:val="30"/>
          <w:highlight w:val="none"/>
        </w:rPr>
        <w:t>双方共同确定巡检计划，计划包括巡检起止时间、联络人员和方式、双方巡检人员及联络方式、巡检内容目录等；</w:t>
      </w:r>
    </w:p>
    <w:p w14:paraId="45662DF1">
      <w:pPr>
        <w:pStyle w:val="9"/>
        <w:numPr>
          <w:ilvl w:val="0"/>
          <w:numId w:val="8"/>
        </w:numPr>
        <w:snapToGrid w:val="0"/>
        <w:ind w:left="0" w:leftChars="0" w:firstLine="420" w:firstLineChars="200"/>
        <w:rPr>
          <w:rFonts w:hint="eastAsia" w:hAnsi="宋体" w:cstheme="minorEastAsia"/>
          <w:color w:val="auto"/>
          <w:szCs w:val="30"/>
          <w:highlight w:val="none"/>
        </w:rPr>
      </w:pPr>
      <w:r>
        <w:rPr>
          <w:rFonts w:hint="eastAsia" w:hAnsi="宋体" w:cstheme="minorEastAsia"/>
          <w:color w:val="auto"/>
          <w:szCs w:val="30"/>
          <w:highlight w:val="none"/>
        </w:rPr>
        <w:t>提供《设备巡检手册》，并在设备巡检完成后三个工作日内提交网络设备巡检报告单，</w:t>
      </w:r>
      <w:r>
        <w:rPr>
          <w:rFonts w:hint="eastAsia" w:hAnsi="宋体" w:cstheme="minorEastAsia"/>
          <w:color w:val="auto"/>
          <w:szCs w:val="30"/>
          <w:highlight w:val="none"/>
          <w:lang w:eastAsia="zh-CN"/>
        </w:rPr>
        <w:t>医院方</w:t>
      </w:r>
      <w:r>
        <w:rPr>
          <w:rFonts w:hint="eastAsia" w:hAnsi="宋体" w:cstheme="minorEastAsia"/>
          <w:color w:val="auto"/>
          <w:szCs w:val="30"/>
          <w:highlight w:val="none"/>
        </w:rPr>
        <w:t>可以根据需要增加或修改设备巡检内容（双方共同协商）。为</w:t>
      </w:r>
      <w:r>
        <w:rPr>
          <w:rFonts w:hint="eastAsia" w:hAnsi="宋体" w:cstheme="minorEastAsia"/>
          <w:color w:val="auto"/>
          <w:szCs w:val="30"/>
          <w:highlight w:val="none"/>
          <w:lang w:eastAsia="zh-CN"/>
        </w:rPr>
        <w:t>医院方</w:t>
      </w:r>
      <w:r>
        <w:rPr>
          <w:rFonts w:hint="eastAsia" w:hAnsi="宋体" w:cstheme="minorEastAsia"/>
          <w:color w:val="auto"/>
          <w:szCs w:val="30"/>
          <w:highlight w:val="none"/>
        </w:rPr>
        <w:t>建立设备维修档案，并根据设备运行情况提供设备升级、改造、更换的建议和方案。</w:t>
      </w:r>
    </w:p>
    <w:p w14:paraId="7400CA48">
      <w:pPr>
        <w:numPr>
          <w:ilvl w:val="0"/>
          <w:numId w:val="2"/>
        </w:numPr>
        <w:spacing w:line="360" w:lineRule="auto"/>
        <w:ind w:left="0" w:leftChars="0" w:firstLine="420" w:firstLineChars="0"/>
        <w:jc w:val="left"/>
        <w:rPr>
          <w:rFonts w:hint="eastAsia" w:ascii="宋体" w:hAnsi="宋体" w:eastAsia="宋体" w:cs="宋体"/>
          <w:b/>
          <w:color w:val="auto"/>
          <w:kern w:val="2"/>
          <w:sz w:val="24"/>
          <w:szCs w:val="24"/>
          <w:highlight w:val="none"/>
          <w:lang w:val="en-US" w:eastAsia="zh-CN" w:bidi="ar-SA"/>
        </w:rPr>
      </w:pPr>
      <w:bookmarkStart w:id="28" w:name="_Toc71232234"/>
      <w:r>
        <w:rPr>
          <w:rFonts w:hint="eastAsia" w:ascii="宋体" w:hAnsi="宋体" w:eastAsia="宋体" w:cs="宋体"/>
          <w:b/>
          <w:color w:val="auto"/>
          <w:kern w:val="2"/>
          <w:sz w:val="24"/>
          <w:szCs w:val="24"/>
          <w:highlight w:val="none"/>
          <w:lang w:val="en-US" w:eastAsia="zh-CN" w:bidi="ar-SA"/>
        </w:rPr>
        <w:t xml:space="preserve"> </w:t>
      </w:r>
      <w:bookmarkStart w:id="29" w:name="_Toc31534"/>
      <w:r>
        <w:rPr>
          <w:rFonts w:hint="eastAsia" w:ascii="宋体" w:hAnsi="宋体" w:eastAsia="宋体" w:cs="宋体"/>
          <w:b/>
          <w:color w:val="auto"/>
          <w:kern w:val="2"/>
          <w:sz w:val="24"/>
          <w:szCs w:val="24"/>
          <w:highlight w:val="none"/>
          <w:lang w:val="en-US" w:eastAsia="zh-CN" w:bidi="ar-SA"/>
        </w:rPr>
        <w:t>网络设备维保及运维服务</w:t>
      </w:r>
      <w:bookmarkEnd w:id="28"/>
      <w:bookmarkEnd w:id="29"/>
      <w:r>
        <w:rPr>
          <w:rFonts w:hint="eastAsia" w:ascii="宋体" w:hAnsi="宋体" w:eastAsia="宋体" w:cs="宋体"/>
          <w:b/>
          <w:color w:val="auto"/>
          <w:kern w:val="2"/>
          <w:sz w:val="24"/>
          <w:szCs w:val="24"/>
          <w:highlight w:val="none"/>
          <w:lang w:val="en-US" w:eastAsia="zh-CN" w:bidi="ar-SA"/>
        </w:rPr>
        <w:t>清单</w:t>
      </w:r>
    </w:p>
    <w:tbl>
      <w:tblPr>
        <w:tblStyle w:val="13"/>
        <w:tblW w:w="4814" w:type="pct"/>
        <w:jc w:val="center"/>
        <w:tblLayout w:type="fixed"/>
        <w:tblCellMar>
          <w:top w:w="0" w:type="dxa"/>
          <w:left w:w="108" w:type="dxa"/>
          <w:bottom w:w="0" w:type="dxa"/>
          <w:right w:w="108" w:type="dxa"/>
        </w:tblCellMar>
      </w:tblPr>
      <w:tblGrid>
        <w:gridCol w:w="472"/>
        <w:gridCol w:w="794"/>
        <w:gridCol w:w="5496"/>
        <w:gridCol w:w="1443"/>
      </w:tblGrid>
      <w:tr w14:paraId="104D5778">
        <w:tblPrEx>
          <w:tblCellMar>
            <w:top w:w="0" w:type="dxa"/>
            <w:left w:w="108" w:type="dxa"/>
            <w:bottom w:w="0" w:type="dxa"/>
            <w:right w:w="108" w:type="dxa"/>
          </w:tblCellMar>
        </w:tblPrEx>
        <w:trPr>
          <w:trHeight w:val="340" w:hRule="atLeast"/>
          <w:jc w:val="center"/>
        </w:trPr>
        <w:tc>
          <w:tcPr>
            <w:tcW w:w="28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297B8B">
            <w:pPr>
              <w:widowControl/>
              <w:spacing w:line="240" w:lineRule="auto"/>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BCF8E2">
            <w:pPr>
              <w:widowControl/>
              <w:spacing w:line="240" w:lineRule="auto"/>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服务名称</w:t>
            </w: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151210">
            <w:pPr>
              <w:widowControl/>
              <w:spacing w:line="240" w:lineRule="auto"/>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4957F7">
            <w:pPr>
              <w:widowControl/>
              <w:spacing w:line="240" w:lineRule="auto"/>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3C8F90EF">
        <w:tblPrEx>
          <w:tblCellMar>
            <w:top w:w="0" w:type="dxa"/>
            <w:left w:w="108" w:type="dxa"/>
            <w:bottom w:w="0" w:type="dxa"/>
            <w:right w:w="108" w:type="dxa"/>
          </w:tblCellMar>
        </w:tblPrEx>
        <w:trPr>
          <w:trHeight w:val="340" w:hRule="atLeast"/>
          <w:jc w:val="center"/>
        </w:trPr>
        <w:tc>
          <w:tcPr>
            <w:tcW w:w="2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E4114F">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DE6040">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设备维保</w:t>
            </w: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6EF53FB4">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对下述清单设备进行三包维修保养（本项目所有服务内容含设备的维修费、配件费、日常检查保养费等），维修保养的服务期限为1年。</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559B1BFC">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w:t>
            </w:r>
          </w:p>
        </w:tc>
      </w:tr>
      <w:tr w14:paraId="75A37C24">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9F9BB">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E9A41">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45BB615E">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S10508X-V以太网交换机设备维保服务</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53FD0AC4">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2台/年维保</w:t>
            </w:r>
          </w:p>
        </w:tc>
      </w:tr>
      <w:tr w14:paraId="08A7CE47">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A46FC">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5B72A">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C26CA2">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F1090数据库防火墙设备维保服务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DE0374">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1套/年维保</w:t>
            </w:r>
          </w:p>
        </w:tc>
      </w:tr>
      <w:tr w14:paraId="321C9667">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03F1C">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C47AC">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A594A8">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UniServer R4900 G3 8SFF CTO服务器设备维保服务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6C2F1F">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3台/年维保</w:t>
            </w:r>
          </w:p>
        </w:tc>
      </w:tr>
      <w:tr w14:paraId="77EE4F78">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C1BDA">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DAE4B">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AF0E0C">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6520X-54QC 交换机设备维保服务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25EC30">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2台/年维保</w:t>
            </w:r>
          </w:p>
        </w:tc>
      </w:tr>
      <w:tr w14:paraId="44E7CE88">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7D480">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61EA0">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F62F0E">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LS-6800-4C-H1 交换机设备维保服务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AFB979">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2台/年维保</w:t>
            </w:r>
          </w:p>
        </w:tc>
      </w:tr>
      <w:tr w14:paraId="601A4492">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17AB5">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A45C6">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0623CD">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F5060-D 防火墙设备维保</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6EF413">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1台/年维保</w:t>
            </w:r>
          </w:p>
        </w:tc>
      </w:tr>
      <w:tr w14:paraId="796B4E1C">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5705B">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48EC0">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E3A800">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SecPath F1060 防火墙设备维保</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A1C01F">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1台/年维保</w:t>
            </w:r>
          </w:p>
        </w:tc>
      </w:tr>
      <w:tr w14:paraId="5BA0EE58">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D0B30">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A74C3">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644C87">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SecPath A2020-G-运维审计系统维保服务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48BF6D">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1台/年维保</w:t>
            </w:r>
          </w:p>
        </w:tc>
      </w:tr>
      <w:tr w14:paraId="40ED1E94">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C7295">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1FB1A">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CC705C">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SecPath D2020-G-数据库审计系统维保服务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D128E6">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1台/年维保</w:t>
            </w:r>
          </w:p>
        </w:tc>
      </w:tr>
      <w:tr w14:paraId="18C3E9C2">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82D5F">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AC1D2">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2862B4">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SecPath ACG1000-ME-应用控制网关维保服务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1F96B0">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1台/年维保</w:t>
            </w:r>
          </w:p>
        </w:tc>
      </w:tr>
      <w:tr w14:paraId="2C06E274">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D1442">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7D595">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9C4324">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H3C SecCenter CSAP-SA-M 综合日志审计平台维保服务</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D62369">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1台/年维保</w:t>
            </w:r>
          </w:p>
        </w:tc>
      </w:tr>
      <w:tr w14:paraId="7CC443C4">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F700E">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CBF59">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9BCCC3">
            <w:pPr>
              <w:widowControl/>
              <w:spacing w:line="240" w:lineRule="auto"/>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H3C S5560X-54F-EI以太网交换机设备维保</w:t>
            </w:r>
          </w:p>
        </w:tc>
        <w:tc>
          <w:tcPr>
            <w:tcW w:w="8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3739C8">
            <w:pPr>
              <w:widowControl/>
              <w:spacing w:line="240" w:lineRule="auto"/>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2台/年维保</w:t>
            </w:r>
          </w:p>
        </w:tc>
      </w:tr>
      <w:tr w14:paraId="624B6661">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8F2AE">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1514B">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6C489438">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S5130S-52S-EI 设备对应线路维修</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3FE932C3">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r>
              <w:rPr>
                <w:rFonts w:hint="eastAsia" w:ascii="宋体" w:hAnsi="宋体" w:eastAsia="宋体" w:cs="宋体"/>
                <w:color w:val="auto"/>
                <w:kern w:val="0"/>
                <w:sz w:val="18"/>
                <w:szCs w:val="18"/>
                <w:highlight w:val="none"/>
                <w:lang w:bidi="ar"/>
              </w:rPr>
              <w:t>套/年</w:t>
            </w:r>
          </w:p>
        </w:tc>
      </w:tr>
      <w:tr w14:paraId="0FD34F60">
        <w:tblPrEx>
          <w:tblCellMar>
            <w:top w:w="0" w:type="dxa"/>
            <w:left w:w="108" w:type="dxa"/>
            <w:bottom w:w="0" w:type="dxa"/>
            <w:right w:w="108" w:type="dxa"/>
          </w:tblCellMar>
        </w:tblPrEx>
        <w:trPr>
          <w:trHeight w:val="340" w:hRule="atLeast"/>
          <w:jc w:val="center"/>
        </w:trPr>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65206B4A">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7BF84235">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线路整改服务</w:t>
            </w: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62E4F83B">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目前楼宇汇聚和线井综合布线共计1200多条线路，没有达到标准化要求，需要提供整改方案，并提供整改服务。对所有楼宇的汇聚机房、接入机房进行综合布线改造，标准不低于《综合布线系统工程设计规范》( GB 50311-2016 )、《综合布线系统工程验收规范》(GB/T50312 2016)等常用综合布线标准规范。</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75AE96A4">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1项</w:t>
            </w:r>
          </w:p>
        </w:tc>
      </w:tr>
      <w:tr w14:paraId="33B505FF">
        <w:tblPrEx>
          <w:tblCellMar>
            <w:top w:w="0" w:type="dxa"/>
            <w:left w:w="108" w:type="dxa"/>
            <w:bottom w:w="0" w:type="dxa"/>
            <w:right w:w="108" w:type="dxa"/>
          </w:tblCellMar>
        </w:tblPrEx>
        <w:trPr>
          <w:trHeight w:val="340" w:hRule="atLeast"/>
          <w:jc w:val="center"/>
        </w:trPr>
        <w:tc>
          <w:tcPr>
            <w:tcW w:w="28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69FF69">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12E61">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网络保障服务</w:t>
            </w: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6A8629F1">
            <w:pPr>
              <w:widowControl/>
              <w:spacing w:line="240" w:lineRule="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1、保障整个网络体系，设备包含核心层、汇聚层和接入层所有设备，不仅保证设备的正常开机和运转，承诺保证配置无误、网络拓扑合理、信号稳定有效、真实业务可用</w:t>
            </w:r>
            <w:r>
              <w:rPr>
                <w:rFonts w:hint="eastAsia" w:ascii="宋体" w:hAnsi="宋体" w:eastAsia="宋体" w:cs="宋体"/>
                <w:color w:val="auto"/>
                <w:kern w:val="0"/>
                <w:sz w:val="20"/>
                <w:szCs w:val="20"/>
                <w:highlight w:val="none"/>
                <w:lang w:eastAsia="zh-CN" w:bidi="ar"/>
              </w:rPr>
              <w:t>。</w:t>
            </w:r>
          </w:p>
        </w:tc>
        <w:tc>
          <w:tcPr>
            <w:tcW w:w="8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17BF2">
            <w:pPr>
              <w:widowControl/>
              <w:spacing w:line="240" w:lineRule="auto"/>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1项</w:t>
            </w:r>
          </w:p>
        </w:tc>
      </w:tr>
      <w:tr w14:paraId="131E1785">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CCFE6C">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52D67">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4822FCD9">
            <w:pPr>
              <w:widowControl/>
              <w:spacing w:line="240" w:lineRule="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2、日常问题存在排查；光衰问题治理；配合</w:t>
            </w:r>
            <w:r>
              <w:rPr>
                <w:rFonts w:hint="eastAsia" w:ascii="宋体" w:hAnsi="宋体" w:eastAsia="宋体" w:cs="宋体"/>
                <w:color w:val="auto"/>
                <w:kern w:val="0"/>
                <w:sz w:val="20"/>
                <w:szCs w:val="20"/>
                <w:highlight w:val="none"/>
                <w:lang w:val="en-US" w:eastAsia="zh-CN" w:bidi="ar"/>
              </w:rPr>
              <w:t>院方</w:t>
            </w:r>
            <w:r>
              <w:rPr>
                <w:rFonts w:hint="eastAsia" w:ascii="宋体" w:hAnsi="宋体" w:eastAsia="宋体" w:cs="宋体"/>
                <w:color w:val="auto"/>
                <w:kern w:val="0"/>
                <w:sz w:val="20"/>
                <w:szCs w:val="20"/>
                <w:highlight w:val="none"/>
                <w:lang w:bidi="ar"/>
              </w:rPr>
              <w:t>进行重要线路保障；定期理线；协助</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完成安全检查；</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有新项目建设时，协助进行网络规划和配置工作；接入层设备维保、巡检、配置和管理，建立网络问题台账、知识库、处理流程方案。线下施工安排施工人员，成交供应商提供所有人力、耗材、物料成本</w:t>
            </w:r>
            <w:r>
              <w:rPr>
                <w:rFonts w:hint="eastAsia" w:ascii="宋体" w:hAnsi="宋体" w:eastAsia="宋体" w:cs="宋体"/>
                <w:color w:val="auto"/>
                <w:kern w:val="0"/>
                <w:sz w:val="20"/>
                <w:szCs w:val="20"/>
                <w:highlight w:val="none"/>
                <w:lang w:eastAsia="zh-CN" w:bidi="ar"/>
              </w:rPr>
              <w:t>。</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B635D">
            <w:pPr>
              <w:spacing w:line="240" w:lineRule="auto"/>
              <w:jc w:val="center"/>
              <w:rPr>
                <w:rFonts w:ascii="宋体" w:hAnsi="宋体" w:eastAsia="宋体" w:cs="宋体"/>
                <w:color w:val="auto"/>
                <w:sz w:val="20"/>
                <w:szCs w:val="20"/>
                <w:highlight w:val="none"/>
              </w:rPr>
            </w:pPr>
          </w:p>
        </w:tc>
      </w:tr>
      <w:tr w14:paraId="7279ADE2">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1416FE">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ACC5A">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0F9ACD7E">
            <w:pPr>
              <w:widowControl/>
              <w:spacing w:line="240" w:lineRule="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3、巡检服务:要求在服务内，定期提供原厂网络高级巡检服务，通过原厂专业的网络巡检工具针对维保设备进行巡检，并在巡检后一周内提交巡检报告，如发现隐患，需协调人员进行处理，排除隐患</w:t>
            </w:r>
            <w:r>
              <w:rPr>
                <w:rFonts w:hint="eastAsia" w:ascii="宋体" w:hAnsi="宋体" w:eastAsia="宋体" w:cs="宋体"/>
                <w:color w:val="auto"/>
                <w:kern w:val="0"/>
                <w:sz w:val="20"/>
                <w:szCs w:val="20"/>
                <w:highlight w:val="none"/>
                <w:lang w:eastAsia="zh-CN" w:bidi="ar"/>
              </w:rPr>
              <w:t>。</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85571">
            <w:pPr>
              <w:spacing w:line="240" w:lineRule="auto"/>
              <w:jc w:val="center"/>
              <w:rPr>
                <w:rFonts w:ascii="宋体" w:hAnsi="宋体" w:eastAsia="宋体" w:cs="宋体"/>
                <w:color w:val="auto"/>
                <w:sz w:val="20"/>
                <w:szCs w:val="20"/>
                <w:highlight w:val="none"/>
              </w:rPr>
            </w:pPr>
          </w:p>
        </w:tc>
      </w:tr>
      <w:tr w14:paraId="729A458F">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1F45C3">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C9D37">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3465CA4B">
            <w:pPr>
              <w:widowControl/>
              <w:spacing w:line="240" w:lineRule="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4、深入网络基础建设架构，整理网络拓扑。对整个网络的设备配置质量、网络运行平稳性、拓扑交换效率、网关和路由设计等做出保障。保障服务支持人员深入了解医院网络整体拓扑和各区域网络实际情况，维保层面不仅限于硬件设备的正常运行，确保</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网络整体各部分的稳定高效的运行。每月更新网络架构拓扑</w:t>
            </w:r>
            <w:r>
              <w:rPr>
                <w:rFonts w:hint="eastAsia" w:ascii="宋体" w:hAnsi="宋体" w:eastAsia="宋体" w:cs="宋体"/>
                <w:color w:val="auto"/>
                <w:kern w:val="0"/>
                <w:sz w:val="20"/>
                <w:szCs w:val="20"/>
                <w:highlight w:val="none"/>
                <w:lang w:eastAsia="zh-CN" w:bidi="ar"/>
              </w:rPr>
              <w:t>。</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51411">
            <w:pPr>
              <w:spacing w:line="240" w:lineRule="auto"/>
              <w:jc w:val="center"/>
              <w:rPr>
                <w:rFonts w:ascii="宋体" w:hAnsi="宋体" w:eastAsia="宋体" w:cs="宋体"/>
                <w:color w:val="auto"/>
                <w:sz w:val="20"/>
                <w:szCs w:val="20"/>
                <w:highlight w:val="none"/>
              </w:rPr>
            </w:pPr>
          </w:p>
        </w:tc>
      </w:tr>
      <w:tr w14:paraId="50065875">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546290">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58C3E">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7BDB83CC">
            <w:pPr>
              <w:widowControl/>
              <w:spacing w:line="240" w:lineRule="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5、提供7×24小时无间断的问题解决及咨询服务，支持渠道包括但不限于现场、QQ群、企业微信、微信群等。</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可能不定期向成交供应商进行问题咨询，在成交供应商无法解答的情况下，需协调原厂工程师解决</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咨询的问题</w:t>
            </w:r>
            <w:r>
              <w:rPr>
                <w:rFonts w:hint="eastAsia" w:ascii="宋体" w:hAnsi="宋体" w:eastAsia="宋体" w:cs="宋体"/>
                <w:color w:val="auto"/>
                <w:kern w:val="0"/>
                <w:sz w:val="20"/>
                <w:szCs w:val="20"/>
                <w:highlight w:val="none"/>
                <w:lang w:eastAsia="zh-CN" w:bidi="ar"/>
              </w:rPr>
              <w:t>。</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EF51B">
            <w:pPr>
              <w:spacing w:line="240" w:lineRule="auto"/>
              <w:jc w:val="center"/>
              <w:rPr>
                <w:rFonts w:ascii="宋体" w:hAnsi="宋体" w:eastAsia="宋体" w:cs="宋体"/>
                <w:color w:val="auto"/>
                <w:sz w:val="20"/>
                <w:szCs w:val="20"/>
                <w:highlight w:val="none"/>
              </w:rPr>
            </w:pPr>
          </w:p>
        </w:tc>
      </w:tr>
      <w:tr w14:paraId="3BE8BDE3">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F088B8">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BAE29">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705108B0">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快速备件先行更换服务：经过原厂工程师定位问题为硬件故障需更换硬件后，要求原厂备件先到现场进行更换，再将坏件寄回，对所维保设备所产生的维修费、配件费、日常检查保养费由成交供应商承担；为保证维保服务质量，</w:t>
            </w:r>
            <w:r>
              <w:rPr>
                <w:rFonts w:hint="eastAsia" w:ascii="宋体" w:hAnsi="宋体" w:eastAsia="宋体" w:cs="宋体"/>
                <w:color w:val="auto"/>
                <w:kern w:val="0"/>
                <w:sz w:val="20"/>
                <w:szCs w:val="20"/>
                <w:highlight w:val="none"/>
                <w:lang w:val="en-US" w:eastAsia="zh-CN" w:bidi="ar"/>
              </w:rPr>
              <w:t>响应供应商</w:t>
            </w:r>
            <w:r>
              <w:rPr>
                <w:rFonts w:hint="eastAsia" w:ascii="宋体" w:hAnsi="宋体" w:eastAsia="宋体" w:cs="宋体"/>
                <w:color w:val="auto"/>
                <w:kern w:val="0"/>
                <w:sz w:val="20"/>
                <w:szCs w:val="20"/>
                <w:highlight w:val="none"/>
                <w:lang w:bidi="ar"/>
              </w:rPr>
              <w:t>必须保证提供的维保产品配件是正规渠道的原厂产品配件，并且与</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原部件品牌、型号相同，如发生相关纠纷，由</w:t>
            </w:r>
            <w:r>
              <w:rPr>
                <w:rFonts w:hint="eastAsia" w:ascii="宋体" w:hAnsi="宋体" w:eastAsia="宋体" w:cs="宋体"/>
                <w:color w:val="auto"/>
                <w:kern w:val="0"/>
                <w:sz w:val="20"/>
                <w:szCs w:val="20"/>
                <w:highlight w:val="none"/>
                <w:lang w:val="en-US" w:eastAsia="zh-CN" w:bidi="ar"/>
              </w:rPr>
              <w:t>响应供应商</w:t>
            </w:r>
            <w:r>
              <w:rPr>
                <w:rFonts w:hint="eastAsia" w:ascii="宋体" w:hAnsi="宋体" w:eastAsia="宋体" w:cs="宋体"/>
                <w:color w:val="auto"/>
                <w:kern w:val="0"/>
                <w:sz w:val="20"/>
                <w:szCs w:val="20"/>
                <w:highlight w:val="none"/>
                <w:lang w:bidi="ar"/>
              </w:rPr>
              <w:t>解决并承担全部责任，与</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无关，为确保成交商可提供原厂商备品备件</w:t>
            </w:r>
            <w:r>
              <w:rPr>
                <w:rFonts w:hint="eastAsia" w:ascii="宋体" w:hAnsi="宋体" w:eastAsia="宋体" w:cs="宋体"/>
                <w:b/>
                <w:bCs/>
                <w:color w:val="auto"/>
                <w:kern w:val="0"/>
                <w:sz w:val="20"/>
                <w:szCs w:val="20"/>
                <w:highlight w:val="none"/>
                <w:lang w:bidi="ar"/>
              </w:rPr>
              <w:t>，</w:t>
            </w:r>
            <w:r>
              <w:rPr>
                <w:rFonts w:hint="eastAsia" w:ascii="宋体" w:hAnsi="宋体" w:eastAsia="宋体" w:cs="宋体"/>
                <w:b/>
                <w:bCs/>
                <w:color w:val="auto"/>
                <w:kern w:val="0"/>
                <w:sz w:val="20"/>
                <w:szCs w:val="20"/>
                <w:highlight w:val="none"/>
                <w:lang w:val="en-US" w:eastAsia="zh-CN" w:bidi="ar"/>
              </w:rPr>
              <w:t>现场响应</w:t>
            </w:r>
            <w:r>
              <w:rPr>
                <w:rFonts w:hint="eastAsia" w:ascii="宋体" w:hAnsi="宋体" w:eastAsia="宋体" w:cs="宋体"/>
                <w:b/>
                <w:bCs/>
                <w:color w:val="auto"/>
                <w:kern w:val="0"/>
                <w:sz w:val="20"/>
                <w:szCs w:val="20"/>
                <w:highlight w:val="none"/>
                <w:lang w:bidi="ar"/>
              </w:rPr>
              <w:t>时必须提供产品原厂商提供的《原厂备件承诺书》，否则</w:t>
            </w:r>
            <w:r>
              <w:rPr>
                <w:rFonts w:hint="eastAsia" w:ascii="宋体" w:hAnsi="宋体" w:eastAsia="宋体" w:cs="宋体"/>
                <w:b/>
                <w:bCs/>
                <w:color w:val="auto"/>
                <w:kern w:val="0"/>
                <w:sz w:val="20"/>
                <w:szCs w:val="20"/>
                <w:highlight w:val="none"/>
                <w:lang w:val="en-US" w:eastAsia="zh-CN" w:bidi="ar"/>
              </w:rPr>
              <w:t>响应</w:t>
            </w:r>
            <w:r>
              <w:rPr>
                <w:rFonts w:hint="eastAsia" w:ascii="宋体" w:hAnsi="宋体" w:eastAsia="宋体" w:cs="宋体"/>
                <w:b/>
                <w:bCs/>
                <w:color w:val="auto"/>
                <w:kern w:val="0"/>
                <w:sz w:val="20"/>
                <w:szCs w:val="20"/>
                <w:highlight w:val="none"/>
                <w:lang w:bidi="ar"/>
              </w:rPr>
              <w:t>无效。</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4BEA1">
            <w:pPr>
              <w:spacing w:line="240" w:lineRule="auto"/>
              <w:jc w:val="center"/>
              <w:rPr>
                <w:rFonts w:ascii="宋体" w:hAnsi="宋体" w:eastAsia="宋体" w:cs="宋体"/>
                <w:color w:val="auto"/>
                <w:sz w:val="20"/>
                <w:szCs w:val="20"/>
                <w:highlight w:val="none"/>
              </w:rPr>
            </w:pPr>
          </w:p>
        </w:tc>
      </w:tr>
      <w:tr w14:paraId="5C891289">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880A72">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68CF2">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15479340">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进行网络应急预案演练时，供应商安排技术人员按</w:t>
            </w:r>
            <w:r>
              <w:rPr>
                <w:rFonts w:hint="eastAsia" w:ascii="宋体" w:hAnsi="宋体" w:eastAsia="宋体" w:cs="宋体"/>
                <w:color w:val="auto"/>
                <w:kern w:val="0"/>
                <w:sz w:val="20"/>
                <w:szCs w:val="20"/>
                <w:highlight w:val="none"/>
                <w:lang w:eastAsia="zh-CN" w:bidi="ar"/>
              </w:rPr>
              <w:t>医院方</w:t>
            </w:r>
            <w:r>
              <w:rPr>
                <w:rFonts w:hint="eastAsia" w:ascii="宋体" w:hAnsi="宋体" w:eastAsia="宋体" w:cs="宋体"/>
                <w:color w:val="auto"/>
                <w:kern w:val="0"/>
                <w:sz w:val="20"/>
                <w:szCs w:val="20"/>
                <w:highlight w:val="none"/>
                <w:lang w:bidi="ar"/>
              </w:rPr>
              <w:t>要求到场配合演练。</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87479">
            <w:pPr>
              <w:spacing w:line="240" w:lineRule="auto"/>
              <w:jc w:val="center"/>
              <w:rPr>
                <w:rFonts w:ascii="宋体" w:hAnsi="宋体" w:eastAsia="宋体" w:cs="宋体"/>
                <w:color w:val="auto"/>
                <w:sz w:val="20"/>
                <w:szCs w:val="20"/>
                <w:highlight w:val="none"/>
              </w:rPr>
            </w:pPr>
          </w:p>
        </w:tc>
      </w:tr>
      <w:tr w14:paraId="7920E7F4">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2B2783">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4E4E2">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7A6FEA46">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8、每年提供1次以上的免费技术培训服务，保障其顺利维护设备，并在技术培训时提供相应文档。</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94074">
            <w:pPr>
              <w:spacing w:line="240" w:lineRule="auto"/>
              <w:jc w:val="center"/>
              <w:rPr>
                <w:rFonts w:ascii="宋体" w:hAnsi="宋体" w:eastAsia="宋体" w:cs="宋体"/>
                <w:color w:val="auto"/>
                <w:sz w:val="20"/>
                <w:szCs w:val="20"/>
                <w:highlight w:val="none"/>
              </w:rPr>
            </w:pPr>
          </w:p>
        </w:tc>
      </w:tr>
      <w:tr w14:paraId="40AD6737">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64254F">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FFDF5">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70832A46">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故障响应时间：7*24小时提供电话技术支持（包含邮件、远程桌面支持），接到故障通知后，硬件设备问题，成交供应商技术服务人员在10分钟内电话响应，1小时内到达故障现场，查明故障原因，提出解决方案，在节假日、休息日或下班期间，用户可通过手机或电话与成交供应商人员取得联系，保证用户的问题在任何时间都能得到及时的响应。一般故障在8小时内修复，若无法及时修复，成交供应商提供替代备件（同型号产品或性能优于原设备产品），以替换故障设备，维持用户系统的正常运行，如需更换设备，48小时内完成新设备安装调试恢复正常。</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1F15C">
            <w:pPr>
              <w:spacing w:line="240" w:lineRule="auto"/>
              <w:jc w:val="center"/>
              <w:rPr>
                <w:rFonts w:ascii="宋体" w:hAnsi="宋体" w:eastAsia="宋体" w:cs="宋体"/>
                <w:color w:val="auto"/>
                <w:sz w:val="20"/>
                <w:szCs w:val="20"/>
                <w:highlight w:val="none"/>
              </w:rPr>
            </w:pPr>
          </w:p>
        </w:tc>
      </w:tr>
      <w:tr w14:paraId="110E16CA">
        <w:tblPrEx>
          <w:tblCellMar>
            <w:top w:w="0" w:type="dxa"/>
            <w:left w:w="108" w:type="dxa"/>
            <w:bottom w:w="0" w:type="dxa"/>
            <w:right w:w="108" w:type="dxa"/>
          </w:tblCellMar>
        </w:tblPrEx>
        <w:trPr>
          <w:trHeight w:val="340" w:hRule="atLeast"/>
          <w:jc w:val="center"/>
        </w:trPr>
        <w:tc>
          <w:tcPr>
            <w:tcW w:w="2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7AEACF">
            <w:pPr>
              <w:spacing w:line="240" w:lineRule="auto"/>
              <w:jc w:val="center"/>
              <w:rPr>
                <w:rFonts w:ascii="宋体" w:hAnsi="宋体" w:eastAsia="宋体" w:cs="宋体"/>
                <w:color w:val="auto"/>
                <w:sz w:val="20"/>
                <w:szCs w:val="20"/>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E67A0">
            <w:pPr>
              <w:spacing w:line="240" w:lineRule="auto"/>
              <w:jc w:val="center"/>
              <w:rPr>
                <w:rFonts w:ascii="宋体" w:hAnsi="宋体" w:eastAsia="宋体" w:cs="宋体"/>
                <w:color w:val="auto"/>
                <w:sz w:val="20"/>
                <w:szCs w:val="20"/>
                <w:highlight w:val="none"/>
              </w:rPr>
            </w:pPr>
          </w:p>
        </w:tc>
        <w:tc>
          <w:tcPr>
            <w:tcW w:w="3349" w:type="pct"/>
            <w:tcBorders>
              <w:top w:val="single" w:color="auto" w:sz="4" w:space="0"/>
              <w:left w:val="single" w:color="auto" w:sz="4" w:space="0"/>
              <w:bottom w:val="single" w:color="auto" w:sz="4" w:space="0"/>
              <w:right w:val="single" w:color="auto" w:sz="4" w:space="0"/>
            </w:tcBorders>
            <w:shd w:val="clear" w:color="auto" w:fill="auto"/>
            <w:vAlign w:val="center"/>
          </w:tcPr>
          <w:p w14:paraId="3E5C8F86">
            <w:pPr>
              <w:widowControl/>
              <w:spacing w:line="240" w:lineRule="auto"/>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r>
              <w:rPr>
                <w:rFonts w:hint="eastAsia" w:ascii="宋体" w:hAnsi="宋体" w:eastAsia="宋体" w:cs="宋体"/>
                <w:b/>
                <w:bCs/>
                <w:color w:val="auto"/>
                <w:kern w:val="0"/>
                <w:sz w:val="20"/>
                <w:szCs w:val="20"/>
                <w:highlight w:val="none"/>
                <w:lang w:bidi="ar"/>
              </w:rPr>
              <w:t>在成交供应商成交30天内，必须提供H3C原厂开具的《服务启动通知书》原件，用于项目验收。</w:t>
            </w:r>
          </w:p>
        </w:tc>
        <w:tc>
          <w:tcPr>
            <w:tcW w:w="8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4B29A">
            <w:pPr>
              <w:spacing w:line="240" w:lineRule="auto"/>
              <w:jc w:val="center"/>
              <w:rPr>
                <w:rFonts w:ascii="宋体" w:hAnsi="宋体" w:eastAsia="宋体" w:cs="宋体"/>
                <w:color w:val="auto"/>
                <w:sz w:val="20"/>
                <w:szCs w:val="20"/>
                <w:highlight w:val="none"/>
              </w:rPr>
            </w:pPr>
          </w:p>
        </w:tc>
      </w:tr>
    </w:tbl>
    <w:p w14:paraId="7E7A8F66">
      <w:pPr>
        <w:rPr>
          <w:color w:val="auto"/>
          <w:highlight w:val="none"/>
        </w:rPr>
      </w:pPr>
    </w:p>
    <w:p w14:paraId="287590C7">
      <w:pPr>
        <w:numPr>
          <w:ilvl w:val="0"/>
          <w:numId w:val="2"/>
        </w:numPr>
        <w:spacing w:line="360" w:lineRule="auto"/>
        <w:ind w:left="0" w:leftChars="0" w:firstLine="420" w:firstLineChars="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评分标准</w:t>
      </w:r>
    </w:p>
    <w:p w14:paraId="19B96DB8">
      <w:pPr>
        <w:numPr>
          <w:ilvl w:val="0"/>
          <w:numId w:val="9"/>
        </w:numPr>
        <w:ind w:left="0" w:leftChars="0" w:firstLine="420" w:firstLineChars="200"/>
        <w:rPr>
          <w:rFonts w:hint="eastAsia"/>
          <w:color w:val="auto"/>
          <w:highlight w:val="none"/>
        </w:rPr>
      </w:pPr>
      <w:bookmarkStart w:id="30" w:name="_Hlk37430271"/>
      <w:bookmarkStart w:id="31" w:name="_Toc28359095"/>
      <w:bookmarkStart w:id="32" w:name="_Hlk37429674"/>
      <w:bookmarkStart w:id="33" w:name="_Toc35393636"/>
      <w:bookmarkStart w:id="34" w:name="_Toc35393805"/>
      <w:bookmarkStart w:id="35" w:name="_Toc44229885"/>
      <w:bookmarkStart w:id="36" w:name="_Toc28359018"/>
      <w:r>
        <w:rPr>
          <w:rFonts w:hint="eastAsia"/>
          <w:color w:val="auto"/>
          <w:highlight w:val="none"/>
        </w:rPr>
        <w:t>申请人的资格条件：</w:t>
      </w:r>
    </w:p>
    <w:p w14:paraId="4CC8B342">
      <w:pPr>
        <w:numPr>
          <w:ilvl w:val="0"/>
          <w:numId w:val="10"/>
        </w:numPr>
        <w:ind w:left="0" w:leftChars="0" w:firstLine="420" w:firstLineChars="200"/>
        <w:rPr>
          <w:rFonts w:hint="eastAsia"/>
          <w:color w:val="auto"/>
          <w:highlight w:val="none"/>
        </w:rPr>
      </w:pPr>
      <w:r>
        <w:rPr>
          <w:rFonts w:hint="eastAsia"/>
          <w:color w:val="auto"/>
          <w:highlight w:val="none"/>
        </w:rPr>
        <w:t>满足《中华人民共和国政府采购法》第二十二条规定；</w:t>
      </w:r>
    </w:p>
    <w:bookmarkEnd w:id="30"/>
    <w:bookmarkEnd w:id="31"/>
    <w:bookmarkEnd w:id="32"/>
    <w:bookmarkEnd w:id="33"/>
    <w:bookmarkEnd w:id="34"/>
    <w:bookmarkEnd w:id="35"/>
    <w:bookmarkEnd w:id="36"/>
    <w:p w14:paraId="48766AF1">
      <w:pPr>
        <w:spacing w:line="360" w:lineRule="auto"/>
        <w:ind w:firstLine="420" w:firstLineChars="200"/>
        <w:jc w:val="left"/>
        <w:rPr>
          <w:rFonts w:hint="eastAsia"/>
          <w:color w:val="auto"/>
          <w:highlight w:val="none"/>
        </w:rPr>
      </w:pPr>
      <w:r>
        <w:rPr>
          <w:rFonts w:hint="eastAsia"/>
          <w:color w:val="auto"/>
          <w:highlight w:val="none"/>
        </w:rPr>
        <w:t>2.本项目的特定资格要求：国内注册（指按国家有关规定要求注册的）生产或经营本次采购货物和服务的能力和资质的供应商；（属于银行、保险、石油石化、电力、电信等行业特殊情况的，取得营业执照的分支机构可以以分公司名义参与本项目响应，分支机构应提供总公司出具的参与授权委托书或承诺函，但总公司和分支机构不能参加同一合同项下的采购活动，文件中涉及的“法定代表人”在前述特殊行业中即对应为“分支机构负责人”。</w:t>
      </w:r>
    </w:p>
    <w:p w14:paraId="3E79A8EB">
      <w:pPr>
        <w:numPr>
          <w:ilvl w:val="0"/>
          <w:numId w:val="9"/>
        </w:numPr>
        <w:ind w:left="0" w:leftChars="0" w:firstLine="420" w:firstLineChars="200"/>
        <w:rPr>
          <w:rFonts w:hint="eastAsia"/>
          <w:color w:val="auto"/>
          <w:highlight w:val="none"/>
        </w:rPr>
      </w:pPr>
      <w:r>
        <w:rPr>
          <w:rFonts w:hint="eastAsia"/>
          <w:color w:val="auto"/>
          <w:highlight w:val="none"/>
        </w:rPr>
        <w:t>评审标准</w:t>
      </w:r>
    </w:p>
    <w:p w14:paraId="3B8F77F0">
      <w:pPr>
        <w:spacing w:line="340" w:lineRule="exact"/>
        <w:ind w:firstLine="420" w:firstLineChars="200"/>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评审依据：评审小组将以磋商响应文件为评审依据，对供应商的报价、商务、技术要求等方面内容按百分制打分。（计分方法按四舍五入取至百分位）</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50"/>
        <w:gridCol w:w="1159"/>
        <w:gridCol w:w="6556"/>
      </w:tblGrid>
      <w:tr w14:paraId="5124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65" w:type="dxa"/>
            <w:gridSpan w:val="2"/>
            <w:tcBorders>
              <w:top w:val="single" w:color="auto" w:sz="4" w:space="0"/>
              <w:left w:val="single" w:color="auto" w:sz="4" w:space="0"/>
              <w:bottom w:val="single" w:color="auto" w:sz="4" w:space="0"/>
              <w:right w:val="single" w:color="auto" w:sz="4" w:space="0"/>
            </w:tcBorders>
            <w:noWrap/>
            <w:vAlign w:val="center"/>
          </w:tcPr>
          <w:p w14:paraId="0D1B50CC">
            <w:pPr>
              <w:adjustRightInd w:val="0"/>
              <w:jc w:val="center"/>
              <w:textAlignment w:val="baseline"/>
              <w:rPr>
                <w:rFonts w:ascii="宋体" w:hAnsi="宋体" w:eastAsia="宋体" w:cs="宋体"/>
                <w:color w:val="auto"/>
                <w:sz w:val="22"/>
                <w:szCs w:val="22"/>
                <w:highlight w:val="none"/>
              </w:rPr>
            </w:pPr>
            <w:r>
              <w:rPr>
                <w:rFonts w:hint="eastAsia" w:ascii="宋体" w:hAnsi="宋体" w:eastAsia="宋体" w:cs="宋体"/>
                <w:b/>
                <w:color w:val="auto"/>
                <w:sz w:val="22"/>
                <w:szCs w:val="22"/>
                <w:highlight w:val="none"/>
              </w:rPr>
              <w:t>序号</w:t>
            </w:r>
          </w:p>
        </w:tc>
        <w:tc>
          <w:tcPr>
            <w:tcW w:w="1159" w:type="dxa"/>
            <w:tcBorders>
              <w:top w:val="single" w:color="auto" w:sz="4" w:space="0"/>
              <w:left w:val="single" w:color="auto" w:sz="4" w:space="0"/>
              <w:bottom w:val="single" w:color="auto" w:sz="4" w:space="0"/>
              <w:right w:val="single" w:color="auto" w:sz="4" w:space="0"/>
            </w:tcBorders>
            <w:noWrap/>
            <w:vAlign w:val="center"/>
          </w:tcPr>
          <w:p w14:paraId="54CBF9FF">
            <w:pPr>
              <w:adjustRightInd w:val="0"/>
              <w:jc w:val="center"/>
              <w:textAlignment w:val="baseline"/>
              <w:rPr>
                <w:rFonts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评分因素</w:t>
            </w:r>
          </w:p>
        </w:tc>
        <w:tc>
          <w:tcPr>
            <w:tcW w:w="6556" w:type="dxa"/>
            <w:tcBorders>
              <w:top w:val="single" w:color="auto" w:sz="4" w:space="0"/>
              <w:left w:val="single" w:color="auto" w:sz="4" w:space="0"/>
              <w:bottom w:val="single" w:color="auto" w:sz="4" w:space="0"/>
              <w:right w:val="single" w:color="auto" w:sz="4" w:space="0"/>
            </w:tcBorders>
            <w:noWrap/>
            <w:vAlign w:val="center"/>
          </w:tcPr>
          <w:p w14:paraId="71C03A0B">
            <w:pPr>
              <w:adjustRightInd w:val="0"/>
              <w:jc w:val="center"/>
              <w:textAlignment w:val="baseline"/>
              <w:rPr>
                <w:rFonts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评分标准</w:t>
            </w:r>
          </w:p>
        </w:tc>
      </w:tr>
      <w:tr w14:paraId="62B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ign w:val="center"/>
          </w:tcPr>
          <w:p w14:paraId="66C1B1AF">
            <w:pPr>
              <w:adjustRightInd w:val="0"/>
              <w:jc w:val="center"/>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696312CB">
            <w:pPr>
              <w:adjustRightInd w:val="0"/>
              <w:jc w:val="center"/>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7502CB38">
            <w:pPr>
              <w:adjustRightInd w:val="0"/>
              <w:jc w:val="center"/>
              <w:textAlignment w:val="baseline"/>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满分</w:t>
            </w:r>
            <w:r>
              <w:rPr>
                <w:rFonts w:hint="eastAsia" w:ascii="宋体" w:hAnsi="宋体" w:eastAsia="宋体" w:cs="宋体"/>
                <w:b/>
                <w:color w:val="auto"/>
                <w:sz w:val="21"/>
                <w:szCs w:val="21"/>
                <w:highlight w:val="none"/>
              </w:rPr>
              <w:t>20分）</w:t>
            </w:r>
          </w:p>
        </w:tc>
        <w:tc>
          <w:tcPr>
            <w:tcW w:w="1159" w:type="dxa"/>
            <w:tcBorders>
              <w:top w:val="single" w:color="auto" w:sz="4" w:space="0"/>
              <w:left w:val="single" w:color="auto" w:sz="4" w:space="0"/>
              <w:bottom w:val="single" w:color="auto" w:sz="4" w:space="0"/>
              <w:right w:val="single" w:color="auto" w:sz="4" w:space="0"/>
            </w:tcBorders>
            <w:noWrap/>
            <w:vAlign w:val="center"/>
          </w:tcPr>
          <w:p w14:paraId="012D3E4C">
            <w:pPr>
              <w:adjustRightInd w:val="0"/>
              <w:jc w:val="center"/>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报价（20分）</w:t>
            </w:r>
          </w:p>
        </w:tc>
        <w:tc>
          <w:tcPr>
            <w:tcW w:w="6556" w:type="dxa"/>
            <w:tcBorders>
              <w:top w:val="single" w:color="auto" w:sz="4" w:space="0"/>
              <w:left w:val="single" w:color="auto" w:sz="4" w:space="0"/>
              <w:bottom w:val="single" w:color="auto" w:sz="4" w:space="0"/>
              <w:right w:val="single" w:color="auto" w:sz="4" w:space="0"/>
            </w:tcBorders>
            <w:noWrap/>
            <w:vAlign w:val="center"/>
          </w:tcPr>
          <w:p w14:paraId="178286C4">
            <w:pPr>
              <w:pStyle w:val="9"/>
              <w:ind w:left="13" w:leftChars="6" w:firstLine="12" w:firstLineChars="6"/>
              <w:rPr>
                <w:rFonts w:hAnsi="宋体" w:eastAsia="宋体" w:cs="宋体"/>
                <w:bCs/>
                <w:color w:val="auto"/>
                <w:sz w:val="21"/>
                <w:szCs w:val="21"/>
                <w:highlight w:val="none"/>
              </w:rPr>
            </w:pPr>
            <w:r>
              <w:rPr>
                <w:rFonts w:hint="eastAsia" w:hAnsi="宋体" w:eastAsia="宋体" w:cs="宋体"/>
                <w:bCs/>
                <w:color w:val="auto"/>
                <w:sz w:val="21"/>
                <w:szCs w:val="21"/>
                <w:highlight w:val="none"/>
              </w:rPr>
              <w:t>价格分采用低价优先法计算，即满足响应文件最低的报价为基准价，其价格分为满分。其他报价的价格分统一按照下列公式计算：</w:t>
            </w:r>
          </w:p>
          <w:p w14:paraId="337DD7EC">
            <w:pPr>
              <w:pStyle w:val="9"/>
              <w:ind w:left="13" w:leftChars="6" w:firstLine="12" w:firstLineChars="6"/>
              <w:rPr>
                <w:rFonts w:hAnsi="宋体" w:eastAsia="宋体" w:cs="宋体"/>
                <w:bCs/>
                <w:color w:val="auto"/>
                <w:sz w:val="21"/>
                <w:szCs w:val="21"/>
                <w:highlight w:val="none"/>
              </w:rPr>
            </w:pPr>
            <w:r>
              <w:rPr>
                <w:rFonts w:hint="eastAsia" w:hAnsi="宋体" w:eastAsia="宋体" w:cs="宋体"/>
                <w:bCs/>
                <w:color w:val="auto"/>
                <w:sz w:val="21"/>
                <w:szCs w:val="21"/>
                <w:highlight w:val="none"/>
              </w:rPr>
              <w:t>响应单位报价分=（评标基准价／评标报价）×20分</w:t>
            </w:r>
          </w:p>
        </w:tc>
      </w:tr>
      <w:tr w14:paraId="3598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15" w:type="dxa"/>
            <w:vMerge w:val="restart"/>
            <w:tcBorders>
              <w:top w:val="single" w:color="auto" w:sz="4" w:space="0"/>
              <w:left w:val="single" w:color="auto" w:sz="4" w:space="0"/>
              <w:right w:val="single" w:color="auto" w:sz="4" w:space="0"/>
            </w:tcBorders>
            <w:noWrap/>
            <w:vAlign w:val="center"/>
          </w:tcPr>
          <w:p w14:paraId="65DFA0CD">
            <w:pPr>
              <w:adjustRightInd w:val="0"/>
              <w:jc w:val="center"/>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850" w:type="dxa"/>
            <w:vMerge w:val="restart"/>
            <w:tcBorders>
              <w:top w:val="single" w:color="auto" w:sz="4" w:space="0"/>
              <w:left w:val="single" w:color="auto" w:sz="4" w:space="0"/>
              <w:right w:val="single" w:color="auto" w:sz="4" w:space="0"/>
            </w:tcBorders>
            <w:noWrap/>
            <w:vAlign w:val="center"/>
          </w:tcPr>
          <w:p w14:paraId="141D79AF">
            <w:pPr>
              <w:adjustRightInd w:val="0"/>
              <w:ind w:left="-105" w:leftChars="-50" w:right="-105" w:rightChars="-50"/>
              <w:jc w:val="center"/>
              <w:textAlignment w:val="baseline"/>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7923C702">
            <w:pPr>
              <w:adjustRightInd w:val="0"/>
              <w:ind w:left="-105" w:leftChars="-50" w:right="-105" w:rightChars="-50"/>
              <w:jc w:val="center"/>
              <w:textAlignment w:val="baseline"/>
              <w:rPr>
                <w:rFonts w:ascii="宋体" w:hAnsi="宋体" w:eastAsia="宋体" w:cs="宋体"/>
                <w:color w:val="auto"/>
                <w:spacing w:val="-18"/>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满分</w:t>
            </w:r>
            <w:r>
              <w:rPr>
                <w:rFonts w:hint="eastAsia" w:ascii="宋体" w:hAnsi="宋体" w:cs="宋体"/>
                <w:b/>
                <w:color w:val="auto"/>
                <w:sz w:val="21"/>
                <w:szCs w:val="21"/>
                <w:highlight w:val="none"/>
              </w:rPr>
              <w:t>60</w:t>
            </w:r>
            <w:r>
              <w:rPr>
                <w:rFonts w:hint="eastAsia" w:ascii="宋体" w:hAnsi="宋体" w:eastAsia="宋体" w:cs="宋体"/>
                <w:b/>
                <w:bCs/>
                <w:color w:val="auto"/>
                <w:sz w:val="21"/>
                <w:szCs w:val="21"/>
                <w:highlight w:val="none"/>
              </w:rPr>
              <w:t>分）</w:t>
            </w:r>
          </w:p>
        </w:tc>
        <w:tc>
          <w:tcPr>
            <w:tcW w:w="1159" w:type="dxa"/>
            <w:tcBorders>
              <w:top w:val="single" w:color="auto" w:sz="4" w:space="0"/>
              <w:left w:val="single" w:color="auto" w:sz="4" w:space="0"/>
              <w:right w:val="single" w:color="auto" w:sz="4" w:space="0"/>
            </w:tcBorders>
            <w:noWrap/>
            <w:vAlign w:val="center"/>
          </w:tcPr>
          <w:p w14:paraId="355174A6">
            <w:pPr>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基本分（10分）</w:t>
            </w:r>
          </w:p>
        </w:tc>
        <w:tc>
          <w:tcPr>
            <w:tcW w:w="6556" w:type="dxa"/>
            <w:tcBorders>
              <w:top w:val="single" w:color="auto" w:sz="4" w:space="0"/>
              <w:left w:val="single" w:color="auto" w:sz="4" w:space="0"/>
              <w:bottom w:val="single" w:color="auto" w:sz="4" w:space="0"/>
              <w:right w:val="single" w:color="auto" w:sz="4" w:space="0"/>
            </w:tcBorders>
            <w:noWrap/>
            <w:vAlign w:val="center"/>
          </w:tcPr>
          <w:p w14:paraId="382BC6C3">
            <w:pP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所有进入详细评审的供应商得基本分10分，</w:t>
            </w:r>
            <w:r>
              <w:rPr>
                <w:rFonts w:hint="eastAsia" w:ascii="宋体" w:hAnsi="宋体" w:eastAsia="宋体" w:cs="宋体"/>
                <w:bCs/>
                <w:color w:val="auto"/>
                <w:sz w:val="21"/>
                <w:szCs w:val="21"/>
                <w:highlight w:val="none"/>
                <w:lang w:val="en-US" w:eastAsia="zh-CN"/>
              </w:rPr>
              <w:t>所有服务</w:t>
            </w:r>
            <w:r>
              <w:rPr>
                <w:rFonts w:hint="eastAsia" w:ascii="宋体" w:hAnsi="宋体" w:eastAsia="宋体" w:cs="宋体"/>
                <w:bCs/>
                <w:color w:val="auto"/>
                <w:sz w:val="21"/>
                <w:szCs w:val="21"/>
                <w:highlight w:val="none"/>
              </w:rPr>
              <w:t>要求(未标注▲号参数指标)负偏离一项的在基本分基础上扣3分，漏项视为负偏离，扣完为止。</w:t>
            </w:r>
          </w:p>
        </w:tc>
      </w:tr>
      <w:tr w14:paraId="48EB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Merge w:val="continue"/>
            <w:tcBorders>
              <w:left w:val="single" w:color="auto" w:sz="4" w:space="0"/>
              <w:right w:val="single" w:color="auto" w:sz="4" w:space="0"/>
            </w:tcBorders>
            <w:noWrap/>
            <w:vAlign w:val="center"/>
          </w:tcPr>
          <w:p w14:paraId="288B3EFC">
            <w:pPr>
              <w:adjustRightInd w:val="0"/>
              <w:jc w:val="center"/>
              <w:textAlignment w:val="baseline"/>
              <w:rPr>
                <w:rFonts w:ascii="宋体" w:hAnsi="宋体" w:eastAsia="宋体" w:cs="宋体"/>
                <w:b/>
                <w:color w:val="auto"/>
                <w:sz w:val="21"/>
                <w:szCs w:val="21"/>
                <w:highlight w:val="none"/>
              </w:rPr>
            </w:pPr>
          </w:p>
        </w:tc>
        <w:tc>
          <w:tcPr>
            <w:tcW w:w="850" w:type="dxa"/>
            <w:vMerge w:val="continue"/>
            <w:tcBorders>
              <w:left w:val="single" w:color="auto" w:sz="4" w:space="0"/>
              <w:right w:val="single" w:color="auto" w:sz="4" w:space="0"/>
            </w:tcBorders>
            <w:noWrap/>
            <w:vAlign w:val="center"/>
          </w:tcPr>
          <w:p w14:paraId="0CD2AD8A">
            <w:pPr>
              <w:adjustRightInd w:val="0"/>
              <w:ind w:left="-105" w:leftChars="-50" w:right="-105" w:rightChars="-50"/>
              <w:jc w:val="center"/>
              <w:textAlignment w:val="baseline"/>
              <w:rPr>
                <w:rFonts w:ascii="宋体" w:hAnsi="宋体" w:eastAsia="宋体" w:cs="宋体"/>
                <w:b/>
                <w:bCs/>
                <w:color w:val="auto"/>
                <w:sz w:val="21"/>
                <w:szCs w:val="21"/>
                <w:highlight w:val="none"/>
              </w:rPr>
            </w:pPr>
          </w:p>
        </w:tc>
        <w:tc>
          <w:tcPr>
            <w:tcW w:w="1159" w:type="dxa"/>
            <w:tcBorders>
              <w:top w:val="single" w:color="auto" w:sz="4" w:space="0"/>
              <w:left w:val="single" w:color="auto" w:sz="4" w:space="0"/>
              <w:right w:val="single" w:color="auto" w:sz="4" w:space="0"/>
            </w:tcBorders>
            <w:noWrap/>
            <w:vAlign w:val="center"/>
          </w:tcPr>
          <w:p w14:paraId="069A4966">
            <w:pPr>
              <w:adjustRightInd w:val="0"/>
              <w:jc w:val="center"/>
              <w:textAlignment w:val="baseline"/>
              <w:rPr>
                <w:rFonts w:ascii="宋体" w:hAnsi="宋体" w:eastAsia="宋体" w:cs="宋体"/>
                <w:bCs/>
                <w:color w:val="auto"/>
                <w:sz w:val="21"/>
                <w:szCs w:val="21"/>
                <w:highlight w:val="none"/>
              </w:rPr>
            </w:pPr>
            <w:r>
              <w:rPr>
                <w:rFonts w:hint="eastAsia" w:ascii="宋体" w:hAnsi="宋体" w:eastAsia="宋体" w:cs="宋体"/>
                <w:color w:val="auto"/>
                <w:spacing w:val="-18"/>
                <w:sz w:val="21"/>
                <w:szCs w:val="21"/>
                <w:highlight w:val="none"/>
              </w:rPr>
              <w:t>维护保养实施方案</w:t>
            </w:r>
            <w:r>
              <w:rPr>
                <w:rFonts w:hint="eastAsia" w:ascii="宋体" w:hAnsi="宋体" w:eastAsia="宋体" w:cs="宋体"/>
                <w:bCs/>
                <w:color w:val="auto"/>
                <w:sz w:val="21"/>
                <w:szCs w:val="21"/>
                <w:highlight w:val="none"/>
              </w:rPr>
              <w:t>（16分）</w:t>
            </w:r>
          </w:p>
        </w:tc>
        <w:tc>
          <w:tcPr>
            <w:tcW w:w="6556" w:type="dxa"/>
            <w:tcBorders>
              <w:top w:val="single" w:color="auto" w:sz="4" w:space="0"/>
              <w:left w:val="single" w:color="auto" w:sz="4" w:space="0"/>
              <w:bottom w:val="single" w:color="auto" w:sz="4" w:space="0"/>
              <w:right w:val="single" w:color="auto" w:sz="4" w:space="0"/>
            </w:tcBorders>
            <w:noWrap/>
            <w:vAlign w:val="center"/>
          </w:tcPr>
          <w:p w14:paraId="24F89041">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由评审小组根据供应商的维护保养实施方案与需求的吻合程度以及对</w:t>
            </w:r>
            <w:r>
              <w:rPr>
                <w:rFonts w:hint="eastAsia" w:ascii="宋体" w:hAnsi="宋体" w:eastAsia="宋体" w:cs="宋体"/>
                <w:bCs/>
                <w:color w:val="auto"/>
                <w:sz w:val="21"/>
                <w:szCs w:val="21"/>
                <w:highlight w:val="none"/>
                <w:lang w:eastAsia="zh-CN"/>
              </w:rPr>
              <w:t>医院方</w:t>
            </w:r>
            <w:r>
              <w:rPr>
                <w:rFonts w:hint="eastAsia" w:ascii="宋体" w:hAnsi="宋体" w:eastAsia="宋体" w:cs="宋体"/>
                <w:bCs/>
                <w:color w:val="auto"/>
                <w:sz w:val="21"/>
                <w:szCs w:val="21"/>
                <w:highlight w:val="none"/>
              </w:rPr>
              <w:t>现有设备的熟悉和理解情况，所制定方案的科学性、可靠性、成熟性、合理性的情况（包括：故障分级管理，故障系统质量管理，故障报告，故障处理规范等）进行评定：</w:t>
            </w:r>
          </w:p>
          <w:p w14:paraId="3C9D2005">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一档（8分）：提供了维护保养实施方案，故障分级管理，故障系统质量管理，故障报告，故障处理规范等内容齐全但具体措施不明确，项目保障性不强。</w:t>
            </w:r>
          </w:p>
          <w:p w14:paraId="4B39D52A">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12分）：提供了维护保养实施方案，故障分级管理，故障系统质量管理，故障报告，故障处理规范等内容齐全、措施考虑周全，有可行性、保障性。有软硬件故障及时排除的对策，但对运行服务保障应急预案及实施过程可能遇到的问题及其应对措施的阐述不明确或措施过于单一。</w:t>
            </w:r>
          </w:p>
          <w:p w14:paraId="5A58EA9A">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16分）：提供了维护保养实施方案，故障分级管理，故障系统质量管理，故障报告，故障处理规范等内容齐全、措施考虑周全，阐述详细明确，有利于采购项目实施其它措施内容和建议，项目实施的可行性、保障性强。软硬件故障及时排除的对策有针对性，能提供有针对性的运行服务保障应急预案，并且实施过程可能遇到的问题及其应对措施合理，措施考虑到位。</w:t>
            </w:r>
          </w:p>
        </w:tc>
      </w:tr>
      <w:tr w14:paraId="0315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15" w:type="dxa"/>
            <w:vMerge w:val="continue"/>
            <w:tcBorders>
              <w:left w:val="single" w:color="auto" w:sz="4" w:space="0"/>
              <w:right w:val="single" w:color="auto" w:sz="4" w:space="0"/>
            </w:tcBorders>
            <w:noWrap/>
            <w:vAlign w:val="center"/>
          </w:tcPr>
          <w:p w14:paraId="75E73F48">
            <w:pPr>
              <w:adjustRightInd w:val="0"/>
              <w:jc w:val="center"/>
              <w:textAlignment w:val="baseline"/>
              <w:rPr>
                <w:rFonts w:ascii="宋体" w:hAnsi="宋体" w:eastAsia="宋体" w:cs="宋体"/>
                <w:b/>
                <w:color w:val="auto"/>
                <w:sz w:val="21"/>
                <w:szCs w:val="21"/>
                <w:highlight w:val="none"/>
              </w:rPr>
            </w:pPr>
          </w:p>
        </w:tc>
        <w:tc>
          <w:tcPr>
            <w:tcW w:w="850" w:type="dxa"/>
            <w:vMerge w:val="continue"/>
            <w:tcBorders>
              <w:left w:val="single" w:color="auto" w:sz="4" w:space="0"/>
              <w:right w:val="single" w:color="auto" w:sz="4" w:space="0"/>
            </w:tcBorders>
            <w:noWrap/>
            <w:vAlign w:val="center"/>
          </w:tcPr>
          <w:p w14:paraId="0E02C704">
            <w:pPr>
              <w:adjustRightInd w:val="0"/>
              <w:ind w:left="-105" w:leftChars="-50" w:right="-105" w:rightChars="-50"/>
              <w:jc w:val="center"/>
              <w:textAlignment w:val="baseline"/>
              <w:rPr>
                <w:rFonts w:ascii="宋体" w:hAnsi="宋体" w:eastAsia="宋体" w:cs="宋体"/>
                <w:b/>
                <w:bCs/>
                <w:color w:val="auto"/>
                <w:sz w:val="21"/>
                <w:szCs w:val="21"/>
                <w:highlight w:val="none"/>
              </w:rPr>
            </w:pPr>
          </w:p>
        </w:tc>
        <w:tc>
          <w:tcPr>
            <w:tcW w:w="1159" w:type="dxa"/>
            <w:tcBorders>
              <w:top w:val="single" w:color="auto" w:sz="4" w:space="0"/>
              <w:left w:val="single" w:color="auto" w:sz="4" w:space="0"/>
              <w:right w:val="single" w:color="auto" w:sz="4" w:space="0"/>
            </w:tcBorders>
            <w:noWrap/>
            <w:vAlign w:val="center"/>
          </w:tcPr>
          <w:p w14:paraId="23194BAD">
            <w:pPr>
              <w:adjustRightInd w:val="0"/>
              <w:jc w:val="center"/>
              <w:textAlignment w:val="baseline"/>
              <w:rPr>
                <w:rFonts w:ascii="宋体" w:hAnsi="宋体" w:eastAsia="宋体" w:cs="宋体"/>
                <w:color w:val="auto"/>
                <w:spacing w:val="-18"/>
                <w:sz w:val="21"/>
                <w:szCs w:val="21"/>
                <w:highlight w:val="none"/>
              </w:rPr>
            </w:pPr>
            <w:r>
              <w:rPr>
                <w:rFonts w:hint="eastAsia" w:ascii="宋体" w:hAnsi="宋体" w:eastAsia="宋体" w:cs="宋体"/>
                <w:bCs/>
                <w:color w:val="auto"/>
                <w:sz w:val="21"/>
                <w:szCs w:val="21"/>
                <w:highlight w:val="none"/>
              </w:rPr>
              <w:t>定期巡检、应急处理的报告和制度</w:t>
            </w:r>
          </w:p>
          <w:p w14:paraId="41DE6FB3">
            <w:pPr>
              <w:adjustRightInd w:val="0"/>
              <w:jc w:val="center"/>
              <w:textAlignment w:val="baseline"/>
              <w:rPr>
                <w:rFonts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（16分）</w:t>
            </w:r>
          </w:p>
        </w:tc>
        <w:tc>
          <w:tcPr>
            <w:tcW w:w="6556" w:type="dxa"/>
            <w:tcBorders>
              <w:top w:val="single" w:color="auto" w:sz="4" w:space="0"/>
              <w:left w:val="single" w:color="auto" w:sz="4" w:space="0"/>
              <w:right w:val="single" w:color="auto" w:sz="4" w:space="0"/>
            </w:tcBorders>
            <w:noWrap/>
            <w:vAlign w:val="center"/>
          </w:tcPr>
          <w:p w14:paraId="00330D68">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由评审小组根据供应商是否建立定期巡检制度、应急处理的情况报告制度，定期出具巡检和设备运行情况报告；是否建立服务档案和解决方案资料库的情况进行评定：</w:t>
            </w:r>
          </w:p>
          <w:p w14:paraId="6A5B8A8B">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一档（8分）：缺乏定期巡检制度和设备运行情况报告制度，服务档案和解决方案资料库缺失或不全；系统故障的排除及运行服务保障应急预案的考虑不全面，保障性不强。</w:t>
            </w:r>
          </w:p>
          <w:p w14:paraId="6B934306">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12分）：基本明确定期巡检制度和设备运行情况报告制度，定期出具巡检和设备运行情况报告；系统故障及时排除的对策较详细，能提供运行服务保障应急预案，并且实施过程可能遇到的问题及其应对措施较合理。</w:t>
            </w:r>
          </w:p>
          <w:p w14:paraId="114FF8AF">
            <w:pPr>
              <w:adjustRightInd w:val="0"/>
              <w:textAlignment w:val="baseline"/>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三档（16分）：已建立内容详细，操作规范，具体明确到实际操作的定期巡检制度和设备运行情况报告制度，定期出具</w:t>
            </w:r>
            <w:r>
              <w:rPr>
                <w:rFonts w:hint="eastAsia" w:ascii="宋体" w:hAnsi="宋体"/>
                <w:color w:val="auto"/>
                <w:sz w:val="21"/>
                <w:szCs w:val="21"/>
                <w:highlight w:val="none"/>
              </w:rPr>
              <w:t>原厂商的设备巡检报告</w:t>
            </w:r>
            <w:r>
              <w:rPr>
                <w:rFonts w:hint="eastAsia" w:ascii="宋体" w:hAnsi="宋体" w:eastAsia="宋体" w:cs="宋体"/>
                <w:bCs/>
                <w:color w:val="auto"/>
                <w:sz w:val="21"/>
                <w:szCs w:val="21"/>
                <w:highlight w:val="none"/>
              </w:rPr>
              <w:t>和设备运行情况报告并已建立保持更新的服务档案和解决方案资料库；系统故障及时排除的对策具体可行，能提供有针对性的运行服务保障应急预案，并且实施过程可能遇到的问题及其应对措施合理，能较为详细提供应急演练计划。</w:t>
            </w:r>
          </w:p>
        </w:tc>
      </w:tr>
      <w:tr w14:paraId="79E5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615" w:type="dxa"/>
            <w:vMerge w:val="continue"/>
            <w:tcBorders>
              <w:left w:val="single" w:color="auto" w:sz="4" w:space="0"/>
              <w:right w:val="single" w:color="auto" w:sz="4" w:space="0"/>
            </w:tcBorders>
            <w:noWrap/>
            <w:vAlign w:val="center"/>
          </w:tcPr>
          <w:p w14:paraId="051A5229">
            <w:pPr>
              <w:adjustRightInd w:val="0"/>
              <w:jc w:val="center"/>
              <w:textAlignment w:val="baseline"/>
              <w:rPr>
                <w:rFonts w:ascii="宋体" w:hAnsi="宋体" w:eastAsia="宋体" w:cs="宋体"/>
                <w:b/>
                <w:color w:val="auto"/>
                <w:sz w:val="21"/>
                <w:szCs w:val="21"/>
                <w:highlight w:val="none"/>
              </w:rPr>
            </w:pPr>
          </w:p>
        </w:tc>
        <w:tc>
          <w:tcPr>
            <w:tcW w:w="850" w:type="dxa"/>
            <w:vMerge w:val="continue"/>
            <w:tcBorders>
              <w:left w:val="single" w:color="auto" w:sz="4" w:space="0"/>
              <w:right w:val="single" w:color="auto" w:sz="4" w:space="0"/>
            </w:tcBorders>
            <w:noWrap/>
            <w:vAlign w:val="center"/>
          </w:tcPr>
          <w:p w14:paraId="03FC8690">
            <w:pPr>
              <w:adjustRightInd w:val="0"/>
              <w:ind w:left="-105" w:leftChars="-50" w:right="-105" w:rightChars="-50"/>
              <w:jc w:val="center"/>
              <w:textAlignment w:val="baseline"/>
              <w:rPr>
                <w:rFonts w:ascii="宋体" w:hAnsi="宋体" w:eastAsia="宋体" w:cs="宋体"/>
                <w:b/>
                <w:bCs/>
                <w:color w:val="auto"/>
                <w:sz w:val="21"/>
                <w:szCs w:val="21"/>
                <w:highlight w:val="none"/>
              </w:rPr>
            </w:pPr>
          </w:p>
        </w:tc>
        <w:tc>
          <w:tcPr>
            <w:tcW w:w="1159" w:type="dxa"/>
            <w:tcBorders>
              <w:left w:val="single" w:color="auto" w:sz="4" w:space="0"/>
              <w:right w:val="single" w:color="auto" w:sz="4" w:space="0"/>
            </w:tcBorders>
            <w:noWrap/>
            <w:vAlign w:val="center"/>
          </w:tcPr>
          <w:p w14:paraId="17252776">
            <w:pPr>
              <w:adjustRightInd w:val="0"/>
              <w:jc w:val="center"/>
              <w:textAlignment w:val="baseline"/>
              <w:rPr>
                <w:rFonts w:ascii="宋体" w:hAnsi="宋体" w:eastAsia="宋体" w:cs="宋体"/>
                <w:color w:val="auto"/>
                <w:spacing w:val="-18"/>
                <w:sz w:val="21"/>
                <w:szCs w:val="21"/>
                <w:highlight w:val="none"/>
              </w:rPr>
            </w:pPr>
            <w:r>
              <w:rPr>
                <w:rFonts w:hint="eastAsia" w:ascii="宋体" w:hAnsi="宋体" w:eastAsia="宋体" w:cs="宋体"/>
                <w:color w:val="auto"/>
                <w:sz w:val="21"/>
                <w:szCs w:val="21"/>
                <w:highlight w:val="none"/>
              </w:rPr>
              <w:t>人员技术储备分</w:t>
            </w: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rPr>
              <w:t>8</w:t>
            </w:r>
            <w:r>
              <w:rPr>
                <w:rFonts w:hint="eastAsia" w:ascii="宋体" w:hAnsi="宋体" w:eastAsia="宋体" w:cs="宋体"/>
                <w:bCs/>
                <w:color w:val="auto"/>
                <w:sz w:val="21"/>
                <w:szCs w:val="21"/>
                <w:highlight w:val="none"/>
              </w:rPr>
              <w:t>分）</w:t>
            </w:r>
          </w:p>
        </w:tc>
        <w:tc>
          <w:tcPr>
            <w:tcW w:w="6556" w:type="dxa"/>
            <w:tcBorders>
              <w:top w:val="single" w:color="auto" w:sz="4" w:space="0"/>
              <w:left w:val="single" w:color="auto" w:sz="4" w:space="0"/>
              <w:right w:val="single" w:color="auto" w:sz="4" w:space="0"/>
            </w:tcBorders>
            <w:noWrap/>
            <w:vAlign w:val="center"/>
          </w:tcPr>
          <w:p w14:paraId="2349CDAB">
            <w:pPr>
              <w:numPr>
                <w:ilvl w:val="0"/>
                <w:numId w:val="11"/>
              </w:numPr>
              <w:snapToGrid w:val="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拟投入</w:t>
            </w:r>
            <w:r>
              <w:rPr>
                <w:rFonts w:hint="eastAsia" w:ascii="宋体" w:hAnsi="宋体" w:eastAsia="宋体" w:cs="宋体"/>
                <w:color w:val="auto"/>
                <w:sz w:val="21"/>
                <w:szCs w:val="21"/>
                <w:highlight w:val="none"/>
              </w:rPr>
              <w:t>1名项目负责人具备信息系统项目管理师专业技术资格证书和通信专业技术人员职业资格（互联网技术）证书；得</w:t>
            </w:r>
            <w:r>
              <w:rPr>
                <w:rFonts w:hint="eastAsia" w:ascii="宋体" w:hAnsi="宋体" w:cs="宋体"/>
                <w:color w:val="auto"/>
                <w:sz w:val="21"/>
                <w:szCs w:val="21"/>
                <w:highlight w:val="none"/>
              </w:rPr>
              <w:t>6</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rPr>
              <w:t>6</w:t>
            </w:r>
            <w:r>
              <w:rPr>
                <w:rFonts w:hint="eastAsia" w:ascii="宋体" w:hAnsi="宋体" w:eastAsia="宋体" w:cs="宋体"/>
                <w:color w:val="auto"/>
                <w:sz w:val="21"/>
                <w:szCs w:val="21"/>
                <w:highlight w:val="none"/>
              </w:rPr>
              <w:t>分）；</w:t>
            </w:r>
          </w:p>
          <w:p w14:paraId="74C3AC29">
            <w:pPr>
              <w:pStyle w:val="2"/>
              <w:ind w:left="0" w:leftChars="0" w:firstLine="0" w:firstLineChars="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Cs/>
                <w:color w:val="auto"/>
                <w:sz w:val="21"/>
                <w:szCs w:val="21"/>
                <w:highlight w:val="none"/>
                <w:lang w:eastAsia="zh-CN"/>
              </w:rPr>
              <w:t>拟投入</w:t>
            </w:r>
            <w:r>
              <w:rPr>
                <w:rFonts w:hint="eastAsia" w:ascii="宋体" w:hAnsi="宋体" w:eastAsia="宋体" w:cs="宋体"/>
                <w:color w:val="auto"/>
                <w:sz w:val="21"/>
                <w:szCs w:val="21"/>
                <w:highlight w:val="none"/>
                <w:lang w:eastAsia="zh-CN"/>
              </w:rPr>
              <w:t>1名售后负责人同时具备信息与通信工程副高级以上职称证书、信息系统项目管理师证书和通信专业技术人员职业资格（互联网技术）证书；得</w:t>
            </w:r>
            <w:r>
              <w:rPr>
                <w:rFonts w:hint="eastAsia" w:ascii="宋体" w:hAnsi="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eastAsia="zh-CN"/>
              </w:rPr>
              <w:t>满分</w:t>
            </w:r>
            <w:r>
              <w:rPr>
                <w:rFonts w:hint="eastAsia" w:ascii="宋体" w:hAnsi="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分）；</w:t>
            </w:r>
          </w:p>
          <w:p w14:paraId="61BC9EBA">
            <w:pPr>
              <w:snapToGrid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（3）拟投入</w:t>
            </w:r>
            <w:r>
              <w:rPr>
                <w:rFonts w:hint="eastAsia" w:ascii="宋体" w:hAnsi="宋体" w:cs="宋体"/>
                <w:color w:val="auto"/>
                <w:sz w:val="21"/>
                <w:szCs w:val="21"/>
                <w:highlight w:val="none"/>
              </w:rPr>
              <w:t>实施</w:t>
            </w:r>
            <w:r>
              <w:rPr>
                <w:rFonts w:hint="eastAsia" w:ascii="宋体" w:hAnsi="宋体" w:eastAsia="宋体" w:cs="宋体"/>
                <w:color w:val="auto"/>
                <w:sz w:val="21"/>
                <w:szCs w:val="21"/>
                <w:highlight w:val="none"/>
              </w:rPr>
              <w:t>的人员中（满分</w:t>
            </w:r>
            <w:r>
              <w:rPr>
                <w:rFonts w:hint="eastAsia" w:ascii="宋体" w:hAnsi="宋体" w:cs="宋体"/>
                <w:color w:val="auto"/>
                <w:sz w:val="21"/>
                <w:szCs w:val="21"/>
                <w:highlight w:val="none"/>
              </w:rPr>
              <w:t>3</w:t>
            </w:r>
            <w:r>
              <w:rPr>
                <w:rFonts w:hint="eastAsia" w:ascii="宋体" w:hAnsi="宋体" w:eastAsia="宋体" w:cs="宋体"/>
                <w:color w:val="auto"/>
                <w:sz w:val="21"/>
                <w:szCs w:val="21"/>
                <w:highlight w:val="none"/>
              </w:rPr>
              <w:t>分）：通过计算机技术与软件专业技术资格（水平）考试，取得与网络规划相关中级（网络工程师）或高级（网络规划设计师）证书的，每有1人得1分，满分</w:t>
            </w:r>
            <w:r>
              <w:rPr>
                <w:rFonts w:hint="eastAsia" w:ascii="宋体" w:hAnsi="宋体" w:cs="宋体"/>
                <w:color w:val="auto"/>
                <w:sz w:val="21"/>
                <w:szCs w:val="21"/>
                <w:highlight w:val="none"/>
              </w:rPr>
              <w:t>3</w:t>
            </w:r>
            <w:r>
              <w:rPr>
                <w:rFonts w:hint="eastAsia" w:ascii="宋体" w:hAnsi="宋体" w:eastAsia="宋体" w:cs="宋体"/>
                <w:color w:val="auto"/>
                <w:sz w:val="21"/>
                <w:szCs w:val="21"/>
                <w:highlight w:val="none"/>
              </w:rPr>
              <w:t>分；</w:t>
            </w:r>
          </w:p>
          <w:p w14:paraId="3F73C703">
            <w:pPr>
              <w:pStyle w:val="2"/>
              <w:ind w:left="0" w:leftChars="0" w:firstLine="0" w:firstLineChars="0"/>
              <w:rPr>
                <w:rFonts w:eastAsia="宋体"/>
                <w:color w:val="auto"/>
                <w:sz w:val="18"/>
                <w:szCs w:val="16"/>
                <w:highlight w:val="none"/>
                <w:lang w:eastAsia="zh-CN"/>
              </w:rPr>
            </w:pPr>
            <w:r>
              <w:rPr>
                <w:rFonts w:hint="eastAsia" w:ascii="宋体" w:hAnsi="宋体" w:cs="宋体"/>
                <w:color w:val="auto"/>
                <w:sz w:val="21"/>
                <w:szCs w:val="21"/>
                <w:highlight w:val="none"/>
                <w:lang w:eastAsia="zh-CN"/>
              </w:rPr>
              <w:t>（4）拟投入设备原厂巡检服务工程师：提供巡检服务的设备原厂工程师有H3CSE或H3CIE专业资格认证证书，每有1人得1分，满分3分。</w:t>
            </w:r>
          </w:p>
          <w:p w14:paraId="62E728EA">
            <w:pPr>
              <w:pStyle w:val="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注：以上项目负责人、售后负责人和</w:t>
            </w:r>
            <w:r>
              <w:rPr>
                <w:rFonts w:hint="eastAsia" w:ascii="宋体" w:hAnsi="宋体" w:cs="宋体"/>
                <w:color w:val="auto"/>
                <w:sz w:val="21"/>
                <w:szCs w:val="21"/>
                <w:highlight w:val="none"/>
              </w:rPr>
              <w:t>实施</w:t>
            </w:r>
            <w:r>
              <w:rPr>
                <w:rFonts w:hint="eastAsia" w:ascii="宋体" w:hAnsi="宋体" w:eastAsia="宋体" w:cs="宋体"/>
                <w:color w:val="auto"/>
                <w:sz w:val="21"/>
                <w:szCs w:val="21"/>
                <w:highlight w:val="none"/>
              </w:rPr>
              <w:t>的人员</w:t>
            </w:r>
            <w:r>
              <w:rPr>
                <w:rFonts w:hint="eastAsia" w:ascii="宋体" w:hAnsi="宋体" w:eastAsia="宋体" w:cs="宋体"/>
                <w:color w:val="auto"/>
                <w:sz w:val="21"/>
                <w:szCs w:val="21"/>
                <w:highlight w:val="none"/>
              </w:rPr>
              <w:t>不能为相同人员，响应文件中</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提供近半年连续三个月供应商为其缴纳社保复印件，及相关人员证书证明材料复印件，原件备查</w:t>
            </w:r>
            <w:r>
              <w:rPr>
                <w:rFonts w:hint="eastAsia" w:ascii="宋体" w:hAnsi="宋体" w:cs="宋体"/>
                <w:color w:val="auto"/>
                <w:sz w:val="21"/>
                <w:szCs w:val="21"/>
                <w:highlight w:val="none"/>
              </w:rPr>
              <w:t>；设备原厂巡检服务工程师提供近半年连续三个月设备厂商为其缴纳社保复印件。</w:t>
            </w:r>
            <w:r>
              <w:rPr>
                <w:rFonts w:hint="eastAsia" w:ascii="宋体" w:hAnsi="宋体" w:eastAsia="宋体" w:cs="宋体"/>
                <w:color w:val="auto"/>
                <w:sz w:val="21"/>
                <w:szCs w:val="21"/>
                <w:highlight w:val="none"/>
              </w:rPr>
              <w:t>不提供或提供材料不齐全的不得分。</w:t>
            </w:r>
          </w:p>
        </w:tc>
      </w:tr>
      <w:tr w14:paraId="718B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615" w:type="dxa"/>
            <w:tcBorders>
              <w:top w:val="single" w:color="auto" w:sz="4" w:space="0"/>
              <w:left w:val="single" w:color="auto" w:sz="4" w:space="0"/>
              <w:right w:val="single" w:color="auto" w:sz="4" w:space="0"/>
            </w:tcBorders>
            <w:noWrap/>
            <w:vAlign w:val="center"/>
          </w:tcPr>
          <w:p w14:paraId="6A1E8EAB">
            <w:pPr>
              <w:adjustRightInd w:val="0"/>
              <w:jc w:val="center"/>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850" w:type="dxa"/>
            <w:tcBorders>
              <w:top w:val="single" w:color="auto" w:sz="4" w:space="0"/>
              <w:left w:val="single" w:color="auto" w:sz="4" w:space="0"/>
              <w:right w:val="single" w:color="auto" w:sz="4" w:space="0"/>
            </w:tcBorders>
            <w:noWrap/>
            <w:vAlign w:val="center"/>
          </w:tcPr>
          <w:p w14:paraId="2E676969">
            <w:pPr>
              <w:adjustRightInd w:val="0"/>
              <w:jc w:val="center"/>
              <w:textAlignment w:val="baseline"/>
              <w:rPr>
                <w:rFonts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商务分（</w:t>
            </w:r>
            <w:r>
              <w:rPr>
                <w:rFonts w:hint="eastAsia" w:ascii="宋体" w:hAnsi="宋体" w:eastAsia="宋体" w:cs="宋体"/>
                <w:b/>
                <w:color w:val="auto"/>
                <w:sz w:val="21"/>
                <w:szCs w:val="21"/>
                <w:highlight w:val="none"/>
              </w:rPr>
              <w:t>满分2</w:t>
            </w:r>
            <w:r>
              <w:rPr>
                <w:rFonts w:hint="eastAsia" w:ascii="宋体" w:hAnsi="宋体" w:cs="宋体"/>
                <w:b/>
                <w:color w:val="auto"/>
                <w:sz w:val="21"/>
                <w:szCs w:val="21"/>
                <w:highlight w:val="none"/>
              </w:rPr>
              <w:t>0</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rPr>
              <w:t>）</w:t>
            </w:r>
          </w:p>
        </w:tc>
        <w:tc>
          <w:tcPr>
            <w:tcW w:w="1159"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6A438607">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rPr>
              <w:t>0</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w:t>
            </w:r>
          </w:p>
        </w:tc>
        <w:tc>
          <w:tcPr>
            <w:tcW w:w="6556" w:type="dxa"/>
            <w:tcBorders>
              <w:top w:val="single" w:color="auto" w:sz="4" w:space="0"/>
              <w:left w:val="single" w:color="auto" w:sz="4" w:space="0"/>
              <w:right w:val="single" w:color="auto" w:sz="4" w:space="0"/>
            </w:tcBorders>
            <w:noWrap/>
          </w:tcPr>
          <w:p w14:paraId="4B3BF450">
            <w:pPr>
              <w:numPr>
                <w:ilvl w:val="0"/>
                <w:numId w:val="12"/>
              </w:numP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供应商具有ISO9001系列质量体系认证、ISO20000信息技术服务管理体系认证、ISO27001信息安全管理体系认证、ISO14001环境管理体系认证、ISO/IEC27701隐私信息管理体系认证的，每有1项得2分，满分10分。</w:t>
            </w:r>
          </w:p>
          <w:p w14:paraId="2E8E4B32">
            <w:pPr>
              <w:pStyle w:val="2"/>
              <w:numPr>
                <w:ilvl w:val="0"/>
                <w:numId w:val="12"/>
              </w:numPr>
              <w:ind w:left="0" w:leftChars="0" w:firstLine="0" w:firstLineChars="0"/>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color w:val="auto"/>
                <w:sz w:val="21"/>
                <w:szCs w:val="21"/>
                <w:highlight w:val="none"/>
                <w:lang w:eastAsia="zh-CN"/>
              </w:rPr>
              <w:t>可以提供原厂服务设备厂商H3C针对本项目的授权书原件），</w:t>
            </w:r>
            <w:r>
              <w:rPr>
                <w:rFonts w:hint="eastAsia" w:ascii="宋体" w:hAnsi="宋体" w:eastAsia="宋体" w:cs="宋体"/>
                <w:bCs/>
                <w:color w:val="auto"/>
                <w:sz w:val="21"/>
                <w:szCs w:val="21"/>
                <w:highlight w:val="none"/>
                <w:lang w:eastAsia="zh-CN"/>
              </w:rPr>
              <w:t>得3分，满分3分</w:t>
            </w:r>
            <w:r>
              <w:rPr>
                <w:rFonts w:hint="eastAsia" w:ascii="宋体" w:hAnsi="宋体" w:cs="宋体"/>
                <w:bCs/>
                <w:color w:val="auto"/>
                <w:sz w:val="21"/>
                <w:szCs w:val="21"/>
                <w:highlight w:val="none"/>
                <w:lang w:eastAsia="zh-CN"/>
              </w:rPr>
              <w:t>。</w:t>
            </w:r>
          </w:p>
          <w:p w14:paraId="5F8FFFFA">
            <w:pPr>
              <w:pStyle w:val="2"/>
              <w:ind w:left="0" w:leftChars="0" w:firstLine="0" w:firstLineChars="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bCs/>
                <w:color w:val="auto"/>
                <w:sz w:val="21"/>
                <w:szCs w:val="21"/>
                <w:highlight w:val="none"/>
                <w:lang w:eastAsia="zh-CN"/>
              </w:rPr>
              <w:t>供应商</w:t>
            </w:r>
            <w:r>
              <w:rPr>
                <w:rFonts w:hint="eastAsia" w:ascii="宋体" w:hAnsi="宋体" w:eastAsia="宋体" w:cs="宋体"/>
                <w:color w:val="auto"/>
                <w:sz w:val="21"/>
                <w:szCs w:val="21"/>
                <w:highlight w:val="none"/>
                <w:lang w:eastAsia="zh-CN"/>
              </w:rPr>
              <w:t>可以提供原厂服务设备厂商H3C出具的本地备品备件库证明函，</w:t>
            </w:r>
            <w:r>
              <w:rPr>
                <w:rFonts w:hint="eastAsia" w:ascii="宋体" w:hAnsi="宋体" w:eastAsia="宋体" w:cs="宋体"/>
                <w:bCs/>
                <w:color w:val="auto"/>
                <w:sz w:val="21"/>
                <w:szCs w:val="21"/>
                <w:highlight w:val="none"/>
                <w:lang w:eastAsia="zh-CN"/>
              </w:rPr>
              <w:t>得3分，满分3分</w:t>
            </w:r>
            <w:r>
              <w:rPr>
                <w:rFonts w:hint="eastAsia" w:ascii="宋体" w:hAnsi="宋体" w:cs="宋体"/>
                <w:bCs/>
                <w:color w:val="auto"/>
                <w:sz w:val="21"/>
                <w:szCs w:val="21"/>
                <w:highlight w:val="none"/>
                <w:lang w:eastAsia="zh-CN"/>
              </w:rPr>
              <w:t>。</w:t>
            </w:r>
          </w:p>
          <w:p w14:paraId="210255F2">
            <w:pP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注：响应文件中提供有效的证书复印件（或扫描件）并加盖供应商电子签章，非中文文本的请提供中文翻译文本，否则不予以计分。</w:t>
            </w:r>
          </w:p>
          <w:p w14:paraId="78446C8D">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2021年1月1日至今同类项目业绩，每有1项得2分，满分</w:t>
            </w:r>
            <w:r>
              <w:rPr>
                <w:rFonts w:hint="eastAsia" w:ascii="宋体" w:hAnsi="宋体" w:cs="宋体"/>
                <w:color w:val="auto"/>
                <w:sz w:val="21"/>
                <w:szCs w:val="21"/>
                <w:highlight w:val="none"/>
              </w:rPr>
              <w:t>4</w:t>
            </w:r>
            <w:r>
              <w:rPr>
                <w:rFonts w:hint="eastAsia" w:ascii="宋体" w:hAnsi="宋体" w:eastAsia="宋体" w:cs="宋体"/>
                <w:color w:val="auto"/>
                <w:sz w:val="21"/>
                <w:szCs w:val="21"/>
                <w:highlight w:val="none"/>
              </w:rPr>
              <w:t>分。</w:t>
            </w:r>
          </w:p>
          <w:p w14:paraId="4CB0C259">
            <w:pP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注：响应文件中提供有效的成交通知书或合同复印件（或扫描件）并加盖供应商电子签章，否则不予以计分。</w:t>
            </w:r>
          </w:p>
        </w:tc>
      </w:tr>
      <w:tr w14:paraId="0CE5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08A01333">
            <w:pPr>
              <w:widowControl/>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本项目为服务类项目，无节能、环保产品加分。</w:t>
            </w:r>
          </w:p>
        </w:tc>
      </w:tr>
    </w:tbl>
    <w:p w14:paraId="68C9AC26">
      <w:pPr>
        <w:spacing w:line="340" w:lineRule="exact"/>
        <w:ind w:firstLine="420"/>
        <w:rPr>
          <w:rFonts w:hint="eastAsia" w:ascii="宋体" w:hAnsi="宋体" w:eastAsia="宋体" w:cs="宋体"/>
          <w:snapToGrid w:val="0"/>
          <w:color w:val="auto"/>
          <w:kern w:val="0"/>
          <w:sz w:val="24"/>
          <w:highlight w:val="none"/>
          <w:lang w:eastAsia="zh-CN"/>
        </w:rPr>
      </w:pPr>
      <w:r>
        <w:rPr>
          <w:rFonts w:hint="eastAsia" w:ascii="宋体" w:hAnsi="宋体" w:eastAsia="宋体" w:cs="宋体"/>
          <w:bCs/>
          <w:color w:val="auto"/>
          <w:sz w:val="24"/>
          <w:highlight w:val="none"/>
        </w:rPr>
        <w:t>由评审小组根据综合评分情况，按照评审得分由高到低顺序推荐3名以上成交候选供应商</w:t>
      </w:r>
      <w:r>
        <w:rPr>
          <w:rFonts w:hint="eastAsia" w:ascii="宋体" w:hAnsi="宋体" w:eastAsia="宋体" w:cs="宋体"/>
          <w:bCs/>
          <w:color w:val="auto"/>
          <w:sz w:val="24"/>
          <w:highlight w:val="none"/>
          <w:lang w:eastAsia="zh-CN"/>
        </w:rPr>
        <w:t>。</w:t>
      </w:r>
    </w:p>
    <w:p w14:paraId="40DE3BCF">
      <w:pPr>
        <w:rPr>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65155"/>
      <w:docPartObj>
        <w:docPartGallery w:val="autotext"/>
      </w:docPartObj>
    </w:sdtPr>
    <w:sdtContent>
      <w:p w14:paraId="58877115">
        <w:pPr>
          <w:pStyle w:val="11"/>
          <w:jc w:val="center"/>
        </w:pPr>
        <w:r>
          <w:fldChar w:fldCharType="begin"/>
        </w:r>
        <w:r>
          <w:instrText xml:space="preserve">PAGE   \* MERGEFORMAT</w:instrText>
        </w:r>
        <w:r>
          <w:fldChar w:fldCharType="separate"/>
        </w:r>
        <w:r>
          <w:rPr>
            <w:lang w:val="zh-CN"/>
          </w:rPr>
          <w:t>1</w:t>
        </w:r>
        <w:r>
          <w:fldChar w:fldCharType="end"/>
        </w:r>
      </w:p>
    </w:sdtContent>
  </w:sdt>
  <w:p w14:paraId="4CFE3FB0">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345A"/>
    <w:multiLevelType w:val="multilevel"/>
    <w:tmpl w:val="8A6C345A"/>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91D526D"/>
    <w:multiLevelType w:val="singleLevel"/>
    <w:tmpl w:val="A91D526D"/>
    <w:lvl w:ilvl="0" w:tentative="0">
      <w:start w:val="1"/>
      <w:numFmt w:val="decimal"/>
      <w:suff w:val="nothing"/>
      <w:lvlText w:val="%1)"/>
      <w:lvlJc w:val="left"/>
      <w:pPr>
        <w:ind w:left="0" w:leftChars="0" w:firstLine="40" w:firstLineChars="0"/>
      </w:pPr>
      <w:rPr>
        <w:rFonts w:hint="default"/>
        <w:b/>
        <w:bCs/>
        <w:sz w:val="21"/>
        <w:szCs w:val="21"/>
      </w:rPr>
    </w:lvl>
  </w:abstractNum>
  <w:abstractNum w:abstractNumId="2">
    <w:nsid w:val="BE5AF00E"/>
    <w:multiLevelType w:val="singleLevel"/>
    <w:tmpl w:val="BE5AF00E"/>
    <w:lvl w:ilvl="0" w:tentative="0">
      <w:start w:val="1"/>
      <w:numFmt w:val="decimal"/>
      <w:suff w:val="space"/>
      <w:lvlText w:val="%1."/>
      <w:lvlJc w:val="left"/>
      <w:pPr>
        <w:ind w:left="0" w:leftChars="0" w:firstLine="40" w:firstLineChars="0"/>
      </w:pPr>
      <w:rPr>
        <w:rFonts w:hint="default"/>
        <w:b w:val="0"/>
        <w:bCs w:val="0"/>
        <w:sz w:val="22"/>
        <w:szCs w:val="22"/>
      </w:rPr>
    </w:lvl>
  </w:abstractNum>
  <w:abstractNum w:abstractNumId="3">
    <w:nsid w:val="D74F0AFB"/>
    <w:multiLevelType w:val="singleLevel"/>
    <w:tmpl w:val="D74F0AFB"/>
    <w:lvl w:ilvl="0" w:tentative="0">
      <w:start w:val="1"/>
      <w:numFmt w:val="decimal"/>
      <w:suff w:val="space"/>
      <w:lvlText w:val="%1."/>
      <w:lvlJc w:val="left"/>
      <w:pPr>
        <w:ind w:left="0" w:leftChars="0" w:firstLine="40" w:firstLineChars="0"/>
      </w:pPr>
      <w:rPr>
        <w:rFonts w:hint="default"/>
      </w:rPr>
    </w:lvl>
  </w:abstractNum>
  <w:abstractNum w:abstractNumId="4">
    <w:nsid w:val="382ACC72"/>
    <w:multiLevelType w:val="singleLevel"/>
    <w:tmpl w:val="382ACC72"/>
    <w:lvl w:ilvl="0" w:tentative="0">
      <w:start w:val="1"/>
      <w:numFmt w:val="decimal"/>
      <w:suff w:val="nothing"/>
      <w:lvlText w:val="（%1）"/>
      <w:lvlJc w:val="left"/>
    </w:lvl>
  </w:abstractNum>
  <w:abstractNum w:abstractNumId="5">
    <w:nsid w:val="3E1816DC"/>
    <w:multiLevelType w:val="singleLevel"/>
    <w:tmpl w:val="3E1816DC"/>
    <w:lvl w:ilvl="0" w:tentative="0">
      <w:start w:val="1"/>
      <w:numFmt w:val="chineseCounting"/>
      <w:suff w:val="nothing"/>
      <w:lvlText w:val="（%1）"/>
      <w:lvlJc w:val="left"/>
      <w:pPr>
        <w:ind w:left="0" w:firstLine="420"/>
      </w:pPr>
      <w:rPr>
        <w:rFonts w:hint="eastAsia"/>
      </w:rPr>
    </w:lvl>
  </w:abstractNum>
  <w:abstractNum w:abstractNumId="6">
    <w:nsid w:val="5057EA42"/>
    <w:multiLevelType w:val="singleLevel"/>
    <w:tmpl w:val="5057EA42"/>
    <w:lvl w:ilvl="0" w:tentative="0">
      <w:start w:val="1"/>
      <w:numFmt w:val="decimal"/>
      <w:suff w:val="space"/>
      <w:lvlText w:val="%1."/>
      <w:lvlJc w:val="left"/>
      <w:pPr>
        <w:ind w:left="0" w:leftChars="0" w:firstLine="40" w:firstLineChars="0"/>
      </w:pPr>
      <w:rPr>
        <w:rFonts w:hint="default"/>
      </w:rPr>
    </w:lvl>
  </w:abstractNum>
  <w:abstractNum w:abstractNumId="7">
    <w:nsid w:val="5128033D"/>
    <w:multiLevelType w:val="singleLevel"/>
    <w:tmpl w:val="5128033D"/>
    <w:lvl w:ilvl="0" w:tentative="0">
      <w:start w:val="1"/>
      <w:numFmt w:val="chineseCounting"/>
      <w:suff w:val="nothing"/>
      <w:lvlText w:val="%1、"/>
      <w:lvlJc w:val="left"/>
      <w:pPr>
        <w:ind w:left="0" w:firstLine="420"/>
      </w:pPr>
      <w:rPr>
        <w:rFonts w:hint="eastAsia"/>
        <w:b/>
        <w:bCs/>
        <w:sz w:val="24"/>
        <w:szCs w:val="24"/>
      </w:rPr>
    </w:lvl>
  </w:abstractNum>
  <w:abstractNum w:abstractNumId="8">
    <w:nsid w:val="57108FCB"/>
    <w:multiLevelType w:val="singleLevel"/>
    <w:tmpl w:val="57108FCB"/>
    <w:lvl w:ilvl="0" w:tentative="0">
      <w:start w:val="1"/>
      <w:numFmt w:val="decimal"/>
      <w:suff w:val="nothing"/>
      <w:lvlText w:val="（%1）"/>
      <w:lvlJc w:val="left"/>
    </w:lvl>
  </w:abstractNum>
  <w:abstractNum w:abstractNumId="9">
    <w:nsid w:val="5C7AC666"/>
    <w:multiLevelType w:val="singleLevel"/>
    <w:tmpl w:val="5C7AC666"/>
    <w:lvl w:ilvl="0" w:tentative="0">
      <w:start w:val="1"/>
      <w:numFmt w:val="decimal"/>
      <w:suff w:val="space"/>
      <w:lvlText w:val="%1."/>
      <w:lvlJc w:val="left"/>
      <w:pPr>
        <w:ind w:left="0" w:leftChars="0" w:firstLine="40" w:firstLineChars="0"/>
      </w:pPr>
      <w:rPr>
        <w:rFonts w:hint="default"/>
      </w:rPr>
    </w:lvl>
  </w:abstractNum>
  <w:abstractNum w:abstractNumId="10">
    <w:nsid w:val="7454DD3E"/>
    <w:multiLevelType w:val="singleLevel"/>
    <w:tmpl w:val="7454DD3E"/>
    <w:lvl w:ilvl="0" w:tentative="0">
      <w:start w:val="1"/>
      <w:numFmt w:val="decimal"/>
      <w:suff w:val="nothing"/>
      <w:lvlText w:val="%1)"/>
      <w:lvlJc w:val="left"/>
      <w:pPr>
        <w:ind w:left="0" w:leftChars="0" w:firstLine="40" w:firstLineChars="0"/>
      </w:pPr>
      <w:rPr>
        <w:rFonts w:hint="default"/>
        <w:b/>
        <w:bCs/>
        <w:sz w:val="21"/>
        <w:szCs w:val="21"/>
      </w:rPr>
    </w:lvl>
  </w:abstractNum>
  <w:abstractNum w:abstractNumId="11">
    <w:nsid w:val="7B818D3C"/>
    <w:multiLevelType w:val="singleLevel"/>
    <w:tmpl w:val="7B818D3C"/>
    <w:lvl w:ilvl="0" w:tentative="0">
      <w:start w:val="1"/>
      <w:numFmt w:val="decimal"/>
      <w:suff w:val="space"/>
      <w:lvlText w:val="%1."/>
      <w:lvlJc w:val="left"/>
      <w:pPr>
        <w:ind w:left="0" w:leftChars="0" w:firstLine="40" w:firstLineChars="0"/>
      </w:pPr>
      <w:rPr>
        <w:rFonts w:hint="default"/>
      </w:rPr>
    </w:lvl>
  </w:abstractNum>
  <w:num w:numId="1">
    <w:abstractNumId w:val="0"/>
  </w:num>
  <w:num w:numId="2">
    <w:abstractNumId w:val="7"/>
  </w:num>
  <w:num w:numId="3">
    <w:abstractNumId w:val="2"/>
  </w:num>
  <w:num w:numId="4">
    <w:abstractNumId w:val="6"/>
  </w:num>
  <w:num w:numId="5">
    <w:abstractNumId w:val="9"/>
  </w:num>
  <w:num w:numId="6">
    <w:abstractNumId w:val="10"/>
  </w:num>
  <w:num w:numId="7">
    <w:abstractNumId w:val="11"/>
  </w:num>
  <w:num w:numId="8">
    <w:abstractNumId w:val="1"/>
  </w:num>
  <w:num w:numId="9">
    <w:abstractNumId w:val="5"/>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F158D2"/>
    <w:rsid w:val="00A52192"/>
    <w:rsid w:val="00EA51C2"/>
    <w:rsid w:val="00F158D2"/>
    <w:rsid w:val="089C1694"/>
    <w:rsid w:val="11D070C1"/>
    <w:rsid w:val="1C035A0E"/>
    <w:rsid w:val="1D801624"/>
    <w:rsid w:val="20255650"/>
    <w:rsid w:val="212B20BA"/>
    <w:rsid w:val="2B302752"/>
    <w:rsid w:val="2BC024A8"/>
    <w:rsid w:val="32CF0ADA"/>
    <w:rsid w:val="3FD87FBB"/>
    <w:rsid w:val="44E87FC6"/>
    <w:rsid w:val="4B5C0E24"/>
    <w:rsid w:val="4CBE42C6"/>
    <w:rsid w:val="52D23D4B"/>
    <w:rsid w:val="54DF2D50"/>
    <w:rsid w:val="55511CDF"/>
    <w:rsid w:val="6E380EAE"/>
    <w:rsid w:val="7137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hAnsi="Courier New" w:cs="Times New Roman"/>
      <w:szCs w:val="20"/>
      <w:lang w:eastAsia="en-US" w:bidi="en-US"/>
    </w:rPr>
  </w:style>
  <w:style w:type="paragraph" w:styleId="6">
    <w:name w:val="annotation text"/>
    <w:basedOn w:val="1"/>
    <w:qFormat/>
    <w:uiPriority w:val="99"/>
    <w:pPr>
      <w:jc w:val="left"/>
    </w:pPr>
  </w:style>
  <w:style w:type="paragraph" w:styleId="7">
    <w:name w:val="Body Text"/>
    <w:basedOn w:val="1"/>
    <w:next w:val="8"/>
    <w:unhideWhenUsed/>
    <w:qFormat/>
    <w:uiPriority w:val="99"/>
    <w:pPr>
      <w:spacing w:after="120"/>
    </w:p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styleId="9">
    <w:name w:val="Plain Text"/>
    <w:basedOn w:val="1"/>
    <w:next w:val="1"/>
    <w:qFormat/>
    <w:uiPriority w:val="99"/>
    <w:rPr>
      <w:rFonts w:ascii="宋体" w:hAnsi="Courier New"/>
      <w:szCs w:val="20"/>
    </w:rPr>
  </w:style>
  <w:style w:type="paragraph" w:styleId="10">
    <w:name w:val="Balloon Text"/>
    <w:basedOn w:val="1"/>
    <w:link w:val="18"/>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qFormat/>
    <w:uiPriority w:val="0"/>
    <w:rPr>
      <w:sz w:val="21"/>
      <w:szCs w:val="21"/>
    </w:rPr>
  </w:style>
  <w:style w:type="paragraph" w:customStyle="1" w:styleId="16">
    <w:name w:val="正文."/>
    <w:qFormat/>
    <w:uiPriority w:val="0"/>
    <w:pPr>
      <w:spacing w:line="300" w:lineRule="auto"/>
    </w:pPr>
    <w:rPr>
      <w:rFonts w:ascii="Arial" w:hAnsi="Arial" w:eastAsia="宋体" w:cs="Times New Roman"/>
      <w:sz w:val="21"/>
      <w:szCs w:val="21"/>
      <w:lang w:val="en-US" w:eastAsia="zh-CN" w:bidi="ar-SA"/>
    </w:rPr>
  </w:style>
  <w:style w:type="character" w:customStyle="1" w:styleId="17">
    <w:name w:val="标题 1 字符1"/>
    <w:qFormat/>
    <w:uiPriority w:val="0"/>
    <w:rPr>
      <w:b/>
      <w:bCs/>
      <w:kern w:val="44"/>
      <w:sz w:val="44"/>
      <w:szCs w:val="44"/>
    </w:rPr>
  </w:style>
  <w:style w:type="character" w:customStyle="1" w:styleId="18">
    <w:name w:val="批注框文本 字符"/>
    <w:basedOn w:val="14"/>
    <w:link w:val="10"/>
    <w:qFormat/>
    <w:uiPriority w:val="0"/>
    <w:rPr>
      <w:kern w:val="2"/>
      <w:sz w:val="18"/>
      <w:szCs w:val="18"/>
    </w:rPr>
  </w:style>
  <w:style w:type="character" w:customStyle="1" w:styleId="19">
    <w:name w:val="页眉 字符"/>
    <w:basedOn w:val="14"/>
    <w:link w:val="12"/>
    <w:qFormat/>
    <w:uiPriority w:val="0"/>
    <w:rPr>
      <w:kern w:val="2"/>
      <w:sz w:val="18"/>
      <w:szCs w:val="18"/>
    </w:rPr>
  </w:style>
  <w:style w:type="character" w:customStyle="1" w:styleId="20">
    <w:name w:val="页脚 字符"/>
    <w:basedOn w:val="14"/>
    <w:link w:val="11"/>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5530</Words>
  <Characters>5817</Characters>
  <Lines>44</Lines>
  <Paragraphs>12</Paragraphs>
  <TotalTime>221</TotalTime>
  <ScaleCrop>false</ScaleCrop>
  <LinksUpToDate>false</LinksUpToDate>
  <CharactersWithSpaces>5854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2024-09-24T09:59:00Z</dcterms:created>
  <dc:creator>admin</dc:creator>
  <cp:lastModifiedBy>秋秋</cp:lastModifiedBy>
  <cp:lastPrinted>2024-10-10T07:54:00Z</cp:lastPrinted>
  <dcterms:modified xsi:type="dcterms:W3CDTF">2024-10-21T13:10:25Z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1C9B2DDAF80541B8B48218E95161CAF2_12</vt:lpwstr>
  </property>
</Properties>
</file>