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BD1E7">
      <w:pPr>
        <w:spacing w:line="360" w:lineRule="auto"/>
        <w:jc w:val="center"/>
        <w:rPr>
          <w:rFonts w:hint="default" w:hAnsi="宋体" w:eastAsiaTheme="minorEastAsia"/>
          <w:b/>
          <w:sz w:val="40"/>
          <w:szCs w:val="32"/>
          <w:lang w:val="en-US" w:eastAsia="zh-CN"/>
        </w:rPr>
      </w:pPr>
      <w:r>
        <w:rPr>
          <w:rFonts w:hint="eastAsia" w:hAnsi="宋体"/>
          <w:b/>
          <w:sz w:val="40"/>
          <w:szCs w:val="32"/>
          <w:lang w:val="en-US" w:eastAsia="zh-CN"/>
        </w:rPr>
        <w:t>中山大学附属第一医院广西医院</w:t>
      </w:r>
      <w:r>
        <w:rPr>
          <w:rFonts w:hint="eastAsia" w:hAnsi="宋体"/>
          <w:b/>
          <w:sz w:val="40"/>
          <w:szCs w:val="32"/>
        </w:rPr>
        <w:t>心电系统维保</w:t>
      </w:r>
      <w:r>
        <w:rPr>
          <w:rFonts w:hint="eastAsia" w:hAnsi="宋体"/>
          <w:b/>
          <w:sz w:val="40"/>
          <w:szCs w:val="32"/>
          <w:lang w:val="en-US" w:eastAsia="zh-CN"/>
        </w:rPr>
        <w:t>服务需求文件</w:t>
      </w:r>
    </w:p>
    <w:p w14:paraId="03A0939F">
      <w:pPr>
        <w:spacing w:line="360" w:lineRule="auto"/>
        <w:rPr>
          <w:rFonts w:hAnsi="宋体"/>
          <w:sz w:val="24"/>
        </w:rPr>
      </w:pPr>
    </w:p>
    <w:p w14:paraId="26DFA90C">
      <w:pPr>
        <w:pStyle w:val="10"/>
        <w:numPr>
          <w:ilvl w:val="0"/>
          <w:numId w:val="1"/>
        </w:numPr>
        <w:ind w:firstLineChars="0"/>
        <w:rPr>
          <w:sz w:val="32"/>
          <w:szCs w:val="32"/>
        </w:rPr>
      </w:pPr>
      <w:bookmarkStart w:id="0" w:name="_Toc485031601"/>
      <w:bookmarkStart w:id="1" w:name="_Toc18533943"/>
      <w:bookmarkStart w:id="2" w:name="_Toc485311715"/>
      <w:r>
        <w:rPr>
          <w:rFonts w:hint="eastAsia" w:ascii="宋体" w:hAnsi="宋体"/>
          <w:sz w:val="32"/>
          <w:szCs w:val="32"/>
        </w:rPr>
        <w:t>服务支持方式</w:t>
      </w:r>
      <w:bookmarkEnd w:id="0"/>
      <w:bookmarkEnd w:id="1"/>
      <w:bookmarkEnd w:id="2"/>
      <w:bookmarkStart w:id="3" w:name="_GoBack"/>
      <w:bookmarkEnd w:id="3"/>
    </w:p>
    <w:p w14:paraId="655D842F">
      <w:pPr>
        <w:pStyle w:val="10"/>
        <w:numPr>
          <w:ilvl w:val="0"/>
          <w:numId w:val="2"/>
        </w:numPr>
        <w:spacing w:line="360" w:lineRule="auto"/>
        <w:ind w:left="0" w:leftChars="0" w:firstLine="20" w:firstLineChars="0"/>
        <w:rPr>
          <w:rFonts w:hint="eastAsia"/>
          <w:sz w:val="24"/>
        </w:rPr>
      </w:pPr>
      <w:r>
        <w:rPr>
          <w:rFonts w:hint="eastAsia"/>
          <w:sz w:val="24"/>
        </w:rPr>
        <w:t>电话服务：提供正常工作时间内的电话咨询服务，电话响应时间应为0.5小时内。</w:t>
      </w:r>
    </w:p>
    <w:p w14:paraId="748FFC76">
      <w:pPr>
        <w:pStyle w:val="10"/>
        <w:numPr>
          <w:ilvl w:val="0"/>
          <w:numId w:val="2"/>
        </w:numPr>
        <w:spacing w:line="360" w:lineRule="auto"/>
        <w:ind w:left="0" w:leftChars="0" w:firstLine="20" w:firstLineChars="0"/>
        <w:rPr>
          <w:rFonts w:hint="eastAsia"/>
          <w:sz w:val="24"/>
        </w:rPr>
      </w:pPr>
      <w:r>
        <w:rPr>
          <w:rFonts w:hint="eastAsia"/>
          <w:sz w:val="24"/>
        </w:rPr>
        <w:t>紧急支持服务：7X24小时的紧急支持服务，包括但不限于非人为因素造成的系统业务长时间中断、数据库故障、服务器故障等对业务造成严重影响的问题处理及恢复工作，应在48小时内使业务恢复正常。</w:t>
      </w:r>
    </w:p>
    <w:p w14:paraId="328DC783">
      <w:pPr>
        <w:pStyle w:val="10"/>
        <w:numPr>
          <w:ilvl w:val="0"/>
          <w:numId w:val="2"/>
        </w:numPr>
        <w:spacing w:line="360" w:lineRule="auto"/>
        <w:ind w:left="0" w:leftChars="0" w:firstLine="20" w:firstLineChars="0"/>
        <w:rPr>
          <w:rFonts w:hint="eastAsia"/>
          <w:sz w:val="24"/>
        </w:rPr>
      </w:pPr>
      <w:r>
        <w:rPr>
          <w:rFonts w:hint="eastAsia"/>
          <w:sz w:val="24"/>
        </w:rPr>
        <w:t>远程支持服务：通过互联网远程连接到服务器进行系统运维及故障排查、处理，远程维护服务响应时间应为0.5小时内。</w:t>
      </w:r>
    </w:p>
    <w:p w14:paraId="534A3AC5">
      <w:pPr>
        <w:pStyle w:val="10"/>
        <w:numPr>
          <w:ilvl w:val="0"/>
          <w:numId w:val="2"/>
        </w:numPr>
        <w:spacing w:line="360" w:lineRule="auto"/>
        <w:ind w:left="0" w:leftChars="0" w:firstLine="20" w:firstLineChars="0"/>
        <w:rPr>
          <w:rFonts w:hint="eastAsia"/>
          <w:sz w:val="24"/>
        </w:rPr>
      </w:pPr>
      <w:r>
        <w:rPr>
          <w:rFonts w:hint="eastAsia"/>
          <w:sz w:val="24"/>
        </w:rPr>
        <w:t>现场服务：如远程服务无法解决的，或者实际情况需要现场技术支持的，需提供现场服务，响应时间应为2小时内。</w:t>
      </w:r>
    </w:p>
    <w:p w14:paraId="7C98028B">
      <w:pPr>
        <w:pStyle w:val="10"/>
        <w:numPr>
          <w:ilvl w:val="0"/>
          <w:numId w:val="1"/>
        </w:numPr>
        <w:ind w:firstLineChars="0"/>
        <w:rPr>
          <w:rFonts w:ascii="宋体" w:hAnsi="宋体"/>
          <w:sz w:val="32"/>
          <w:szCs w:val="32"/>
        </w:rPr>
      </w:pPr>
      <w:r>
        <w:rPr>
          <w:rFonts w:hint="eastAsia" w:ascii="宋体" w:hAnsi="宋体"/>
          <w:sz w:val="32"/>
          <w:szCs w:val="32"/>
        </w:rPr>
        <w:t>服务内容</w:t>
      </w:r>
    </w:p>
    <w:p w14:paraId="5276DB18">
      <w:pPr>
        <w:pStyle w:val="10"/>
        <w:numPr>
          <w:ilvl w:val="0"/>
          <w:numId w:val="3"/>
        </w:numPr>
        <w:spacing w:line="360" w:lineRule="auto"/>
        <w:ind w:left="0" w:leftChars="0" w:firstLine="20" w:firstLineChars="0"/>
        <w:rPr>
          <w:sz w:val="24"/>
        </w:rPr>
      </w:pPr>
      <w:r>
        <w:rPr>
          <w:rFonts w:hint="eastAsia"/>
          <w:sz w:val="24"/>
        </w:rPr>
        <w:t>维保期为一年。</w:t>
      </w:r>
    </w:p>
    <w:p w14:paraId="504DEE04">
      <w:pPr>
        <w:pStyle w:val="10"/>
        <w:numPr>
          <w:ilvl w:val="0"/>
          <w:numId w:val="3"/>
        </w:numPr>
        <w:spacing w:line="360" w:lineRule="auto"/>
        <w:ind w:left="0" w:leftChars="0" w:firstLine="20" w:firstLineChars="0"/>
        <w:rPr>
          <w:sz w:val="24"/>
        </w:rPr>
      </w:pPr>
      <w:r>
        <w:rPr>
          <w:rFonts w:hint="eastAsia"/>
          <w:sz w:val="24"/>
        </w:rPr>
        <w:t>程序BUG排查及修改：由于程序的错误导致某些功能无法正常使用或者功能没有实现，应该积极配合处理。</w:t>
      </w:r>
    </w:p>
    <w:p w14:paraId="48B7CB85">
      <w:pPr>
        <w:pStyle w:val="10"/>
        <w:numPr>
          <w:ilvl w:val="0"/>
          <w:numId w:val="3"/>
        </w:numPr>
        <w:spacing w:line="360" w:lineRule="auto"/>
        <w:ind w:left="0" w:leftChars="0" w:firstLine="20" w:firstLineChars="0"/>
        <w:rPr>
          <w:sz w:val="24"/>
        </w:rPr>
      </w:pPr>
      <w:r>
        <w:rPr>
          <w:rFonts w:hint="eastAsia"/>
          <w:sz w:val="24"/>
        </w:rPr>
        <w:t>系统、服务器及数据库维护：维保期内应提供定期的系统运行情况跟踪、服务器及数据库巡检服务，能及时发现对系统业务造成影响的问题，并及时通知系统管理人员进行防治处理以及提供相应的解决方案。提供数据库日常备份服务。</w:t>
      </w:r>
    </w:p>
    <w:p w14:paraId="3252663B">
      <w:pPr>
        <w:pStyle w:val="10"/>
        <w:numPr>
          <w:ilvl w:val="0"/>
          <w:numId w:val="3"/>
        </w:numPr>
        <w:spacing w:line="360" w:lineRule="auto"/>
        <w:ind w:left="0" w:leftChars="0" w:firstLine="20" w:firstLineChars="0"/>
        <w:rPr>
          <w:sz w:val="24"/>
        </w:rPr>
      </w:pPr>
      <w:r>
        <w:rPr>
          <w:rFonts w:hint="eastAsia"/>
          <w:sz w:val="24"/>
        </w:rPr>
        <w:t>保障</w:t>
      </w:r>
      <w:r>
        <w:rPr>
          <w:sz w:val="24"/>
        </w:rPr>
        <w:t>系统报表数据</w:t>
      </w:r>
      <w:r>
        <w:rPr>
          <w:rFonts w:hint="eastAsia"/>
          <w:sz w:val="24"/>
        </w:rPr>
        <w:t>正确性，</w:t>
      </w:r>
      <w:r>
        <w:rPr>
          <w:rFonts w:hint="eastAsia"/>
          <w:bCs/>
          <w:sz w:val="24"/>
        </w:rPr>
        <w:t>对统计报表有异常时进行原因分析并处理。</w:t>
      </w:r>
    </w:p>
    <w:p w14:paraId="0F469C27">
      <w:pPr>
        <w:pStyle w:val="10"/>
        <w:numPr>
          <w:ilvl w:val="0"/>
          <w:numId w:val="3"/>
        </w:numPr>
        <w:spacing w:line="360" w:lineRule="auto"/>
        <w:ind w:left="0" w:leftChars="0" w:firstLine="20" w:firstLineChars="0"/>
        <w:rPr>
          <w:sz w:val="24"/>
        </w:rPr>
      </w:pPr>
      <w:r>
        <w:rPr>
          <w:rFonts w:hint="eastAsia"/>
          <w:sz w:val="24"/>
        </w:rPr>
        <w:t>操作</w:t>
      </w:r>
      <w:r>
        <w:rPr>
          <w:sz w:val="24"/>
        </w:rPr>
        <w:t>培训</w:t>
      </w:r>
      <w:r>
        <w:rPr>
          <w:rFonts w:hint="eastAsia"/>
          <w:sz w:val="24"/>
        </w:rPr>
        <w:t>：维保期内应该提供对系统使用操作的培训支持。</w:t>
      </w:r>
    </w:p>
    <w:p w14:paraId="4D5DADE3">
      <w:pPr>
        <w:pStyle w:val="10"/>
        <w:numPr>
          <w:ilvl w:val="0"/>
          <w:numId w:val="3"/>
        </w:numPr>
        <w:spacing w:line="360" w:lineRule="auto"/>
        <w:ind w:left="0" w:leftChars="0" w:firstLine="20" w:firstLineChars="0"/>
        <w:rPr>
          <w:rFonts w:hint="eastAsia"/>
          <w:sz w:val="24"/>
        </w:rPr>
      </w:pPr>
      <w:r>
        <w:rPr>
          <w:rFonts w:hint="eastAsia"/>
          <w:sz w:val="24"/>
        </w:rPr>
        <w:t>系统优化改进及新增需求: 维保期内应该提供对现有业务流程和界面进行改进及新增业务所需的功能模块或子系统开发的支持服务,可视修改内容及开发难度、周期长短收取相应费用（收费标准应不高于行业平均水平）。</w:t>
      </w:r>
    </w:p>
    <w:p w14:paraId="085EE6C3">
      <w:pPr>
        <w:pStyle w:val="10"/>
        <w:numPr>
          <w:ilvl w:val="0"/>
          <w:numId w:val="3"/>
        </w:numPr>
        <w:spacing w:line="360" w:lineRule="auto"/>
        <w:ind w:left="0" w:leftChars="0" w:firstLine="20" w:firstLineChars="0"/>
        <w:rPr>
          <w:sz w:val="24"/>
        </w:rPr>
      </w:pPr>
      <w:r>
        <w:rPr>
          <w:rFonts w:hint="eastAsia"/>
          <w:sz w:val="24"/>
        </w:rPr>
        <w:t>维保服务人员：维保期内应指派对本单位系统及业务情况相对熟悉的工程师，维保人员应相对固定，原维保人员如有变动应进行相应的交接工作，保证维保工作顺畅进行。</w:t>
      </w:r>
    </w:p>
    <w:p w14:paraId="290FE053">
      <w:pPr>
        <w:pStyle w:val="10"/>
        <w:numPr>
          <w:ilvl w:val="0"/>
          <w:numId w:val="3"/>
        </w:numPr>
        <w:spacing w:line="360" w:lineRule="auto"/>
        <w:ind w:left="0" w:leftChars="0" w:firstLine="20" w:firstLineChars="0"/>
        <w:rPr>
          <w:sz w:val="24"/>
        </w:rPr>
      </w:pPr>
      <w:r>
        <w:rPr>
          <w:rFonts w:hint="eastAsia"/>
          <w:sz w:val="24"/>
        </w:rPr>
        <w:t>其他：对于不属于以上服务内容范围、不易界定的情况进行双方协商处理。</w:t>
      </w:r>
    </w:p>
    <w:p w14:paraId="1D064B4A">
      <w:pPr>
        <w:pStyle w:val="10"/>
        <w:numPr>
          <w:ilvl w:val="0"/>
          <w:numId w:val="3"/>
        </w:numPr>
        <w:spacing w:line="360" w:lineRule="auto"/>
        <w:ind w:left="0" w:leftChars="0" w:firstLine="20" w:firstLineChars="0"/>
        <w:rPr>
          <w:sz w:val="24"/>
        </w:rPr>
      </w:pPr>
      <w:r>
        <w:rPr>
          <w:rFonts w:hint="eastAsia"/>
          <w:sz w:val="24"/>
        </w:rPr>
        <w:t>提供心电系统本地部署服务，要求将心电系统的数据库、应用软件和接口服务独立部署在医院服务器，并保证系统正常运行。协助医院对接各个接口服务，并确保联通各相关系统。</w:t>
      </w:r>
    </w:p>
    <w:p w14:paraId="72344C4F">
      <w:pPr>
        <w:pStyle w:val="10"/>
        <w:numPr>
          <w:ilvl w:val="0"/>
          <w:numId w:val="1"/>
        </w:numPr>
        <w:ind w:firstLineChars="0"/>
        <w:rPr>
          <w:rFonts w:ascii="宋体" w:hAnsi="宋体"/>
          <w:sz w:val="32"/>
          <w:szCs w:val="32"/>
        </w:rPr>
      </w:pPr>
      <w:r>
        <w:rPr>
          <w:rFonts w:hint="eastAsia" w:ascii="宋体" w:hAnsi="宋体"/>
          <w:sz w:val="32"/>
          <w:szCs w:val="32"/>
        </w:rPr>
        <w:t>心电系统功能</w:t>
      </w:r>
    </w:p>
    <w:p w14:paraId="69BF7A2F">
      <w:pPr>
        <w:pStyle w:val="10"/>
        <w:numPr>
          <w:ilvl w:val="0"/>
          <w:numId w:val="4"/>
        </w:numPr>
        <w:spacing w:line="360" w:lineRule="auto"/>
        <w:ind w:left="0" w:leftChars="0" w:firstLine="20" w:firstLineChars="0"/>
        <w:rPr>
          <w:rFonts w:hint="eastAsia"/>
          <w:sz w:val="24"/>
        </w:rPr>
      </w:pPr>
      <w:r>
        <w:rPr>
          <w:rFonts w:hint="eastAsia"/>
          <w:sz w:val="24"/>
        </w:rPr>
        <w:t>完成医院心电信息管理系统独立运行，实现系统管理平台软件安装、维护、数据迁移。</w:t>
      </w:r>
    </w:p>
    <w:p w14:paraId="46618EC8">
      <w:pPr>
        <w:pStyle w:val="10"/>
        <w:numPr>
          <w:ilvl w:val="0"/>
          <w:numId w:val="4"/>
        </w:numPr>
        <w:spacing w:line="360" w:lineRule="auto"/>
        <w:ind w:left="0" w:leftChars="0" w:firstLine="20" w:firstLineChars="0"/>
        <w:rPr>
          <w:rFonts w:hint="eastAsia"/>
          <w:sz w:val="24"/>
        </w:rPr>
      </w:pPr>
      <w:r>
        <w:rPr>
          <w:rFonts w:hint="eastAsia"/>
          <w:sz w:val="24"/>
        </w:rPr>
        <w:t>心电信息管理系统实现医院心电图检查工作的信息化、自动化和规范化。完成心电图检查的申请、预约和登记、计价、心电图采集和自动存储、检查报告处理、查询病人心电图数据等，并与医院的其它信息系统无缝集成。为医院心电图检查，建立数字化、信息化工作平台，实现全流程的数字化管理，数字化存储，信息共享。</w:t>
      </w:r>
    </w:p>
    <w:p w14:paraId="2E616AB9">
      <w:pPr>
        <w:pStyle w:val="10"/>
        <w:numPr>
          <w:ilvl w:val="0"/>
          <w:numId w:val="4"/>
        </w:numPr>
        <w:spacing w:line="360" w:lineRule="auto"/>
        <w:ind w:left="0" w:leftChars="0" w:firstLine="20" w:firstLineChars="0"/>
        <w:rPr>
          <w:rFonts w:hint="eastAsia"/>
          <w:sz w:val="24"/>
        </w:rPr>
      </w:pPr>
      <w:r>
        <w:rPr>
          <w:rFonts w:hint="eastAsia"/>
          <w:sz w:val="24"/>
        </w:rPr>
        <w:t>能与院内集成平台进行接口对接，满足院内信息全面互联互通需求，如HIS、电子病历、体检等系统的对接。</w:t>
      </w:r>
    </w:p>
    <w:p w14:paraId="146CA25A">
      <w:pPr>
        <w:pStyle w:val="10"/>
        <w:numPr>
          <w:ilvl w:val="0"/>
          <w:numId w:val="4"/>
        </w:numPr>
        <w:spacing w:line="360" w:lineRule="auto"/>
        <w:ind w:left="0" w:leftChars="0" w:firstLine="20" w:firstLineChars="0"/>
        <w:rPr>
          <w:rFonts w:hint="eastAsia"/>
          <w:sz w:val="24"/>
        </w:rPr>
      </w:pPr>
      <w:r>
        <w:rPr>
          <w:rFonts w:hint="eastAsia"/>
          <w:sz w:val="24"/>
        </w:rPr>
        <w:t>能实现B/S构架下网络化查询，电子测量，患者心电图多次对比，资料自主保存，以及二次分析功能。</w:t>
      </w:r>
    </w:p>
    <w:p w14:paraId="53CE1CAF">
      <w:pPr>
        <w:pStyle w:val="10"/>
        <w:numPr>
          <w:ilvl w:val="0"/>
          <w:numId w:val="4"/>
        </w:numPr>
        <w:spacing w:line="360" w:lineRule="auto"/>
        <w:ind w:left="0" w:leftChars="0" w:firstLine="20" w:firstLineChars="0"/>
        <w:rPr>
          <w:rFonts w:hint="eastAsia"/>
          <w:sz w:val="24"/>
        </w:rPr>
      </w:pPr>
      <w:r>
        <w:rPr>
          <w:rFonts w:hint="eastAsia"/>
          <w:sz w:val="24"/>
        </w:rPr>
        <w:t xml:space="preserve">支持嵌入门诊医生站、住院电子病历系统。确认检查报告后，在医生工作站上可浏览心电图结论，心电波形和打印带网格的心电图报告。Web浏览无需安装控件，可以查看原始数据，可以调整走速和增益。 </w:t>
      </w:r>
    </w:p>
    <w:p w14:paraId="4DAD6804">
      <w:pPr>
        <w:pStyle w:val="10"/>
        <w:numPr>
          <w:ilvl w:val="0"/>
          <w:numId w:val="4"/>
        </w:numPr>
        <w:spacing w:line="360" w:lineRule="auto"/>
        <w:ind w:left="0" w:leftChars="0" w:firstLine="20" w:firstLineChars="0"/>
        <w:rPr>
          <w:rFonts w:hint="eastAsia"/>
          <w:sz w:val="24"/>
        </w:rPr>
      </w:pPr>
      <w:r>
        <w:rPr>
          <w:rFonts w:hint="eastAsia"/>
          <w:sz w:val="24"/>
        </w:rPr>
        <w:t>具有在线心电图分析功能，查看长时间原始心电波形；提供心电图处理测量功能，波形显示、幅值调整、单页多页显示、新旧病历对比功能、心拍自动分析、心拍特征点自动识别、心拍特征点手动微调、走纸速度调整、波形放大等功能。</w:t>
      </w:r>
    </w:p>
    <w:p w14:paraId="1A99AA73">
      <w:pPr>
        <w:pStyle w:val="10"/>
        <w:numPr>
          <w:ilvl w:val="0"/>
          <w:numId w:val="4"/>
        </w:numPr>
        <w:spacing w:line="360" w:lineRule="auto"/>
        <w:ind w:left="0" w:leftChars="0" w:firstLine="20" w:firstLineChars="0"/>
        <w:rPr>
          <w:rFonts w:hint="eastAsia"/>
          <w:sz w:val="24"/>
        </w:rPr>
      </w:pPr>
      <w:r>
        <w:rPr>
          <w:rFonts w:hint="eastAsia"/>
          <w:sz w:val="24"/>
        </w:rPr>
        <w:t>具有权限管理体系，能对</w:t>
      </w:r>
      <w:r>
        <w:rPr>
          <w:rFonts w:hint="eastAsia"/>
          <w:sz w:val="24"/>
          <w:lang w:val="en-US" w:eastAsia="zh-CN"/>
        </w:rPr>
        <w:t>院方</w:t>
      </w:r>
      <w:r>
        <w:rPr>
          <w:rFonts w:hint="eastAsia"/>
          <w:sz w:val="24"/>
        </w:rPr>
        <w:t>的报告书写、修改、审核、上传、浏览、下载等权限进行授权和管理功能。</w:t>
      </w:r>
    </w:p>
    <w:p w14:paraId="7EAE1F87">
      <w:pPr>
        <w:pStyle w:val="10"/>
        <w:numPr>
          <w:ilvl w:val="0"/>
          <w:numId w:val="4"/>
        </w:numPr>
        <w:spacing w:line="360" w:lineRule="auto"/>
        <w:ind w:left="0" w:leftChars="0" w:firstLine="20" w:firstLineChars="0"/>
        <w:rPr>
          <w:rFonts w:hint="eastAsia"/>
          <w:sz w:val="24"/>
        </w:rPr>
      </w:pPr>
      <w:r>
        <w:rPr>
          <w:rFonts w:hint="eastAsia"/>
          <w:sz w:val="24"/>
        </w:rPr>
        <w:t>支持心功能及神经电生理检查数据数字采集、传输、标准XML心电图数据归档存储使用索引方式调阅，检查数据分析、报告、波形数据的临床浏览。数据库和应用软件性能优异、操作简单。具有检查申请、登记/预约、检查、报告及打印输出、归档、查询统计、科室管理等业务处理和流程管理功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0793244"/>
      <w:docPartObj>
        <w:docPartGallery w:val="autotext"/>
      </w:docPartObj>
    </w:sdtPr>
    <w:sdtContent>
      <w:p w14:paraId="4BD2D85A">
        <w:pPr>
          <w:pStyle w:val="4"/>
          <w:jc w:val="center"/>
        </w:pPr>
        <w:r>
          <w:fldChar w:fldCharType="begin"/>
        </w:r>
        <w:r>
          <w:instrText xml:space="preserve">PAGE   \* MERGEFORMAT</w:instrText>
        </w:r>
        <w:r>
          <w:fldChar w:fldCharType="separate"/>
        </w:r>
        <w:r>
          <w:rPr>
            <w:lang w:val="zh-CN"/>
          </w:rPr>
          <w:t>1</w:t>
        </w:r>
        <w:r>
          <w:fldChar w:fldCharType="end"/>
        </w:r>
      </w:p>
    </w:sdtContent>
  </w:sdt>
  <w:p w14:paraId="1B12C1A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075EC"/>
    <w:multiLevelType w:val="multilevel"/>
    <w:tmpl w:val="A9A075EC"/>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FFBAE39"/>
    <w:multiLevelType w:val="multilevel"/>
    <w:tmpl w:val="0FFBAE39"/>
    <w:lvl w:ilvl="0" w:tentative="0">
      <w:start w:val="1"/>
      <w:numFmt w:val="decimal"/>
      <w:suff w:val="nothing"/>
      <w:lvlText w:val="%1."/>
      <w:lvlJc w:val="left"/>
      <w:pPr>
        <w:ind w:left="0" w:leftChars="0" w:firstLine="20" w:firstLineChars="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7C857CB"/>
    <w:multiLevelType w:val="multilevel"/>
    <w:tmpl w:val="67C857CB"/>
    <w:lvl w:ilvl="0" w:tentative="0">
      <w:start w:val="1"/>
      <w:numFmt w:val="decimal"/>
      <w:suff w:val="nothing"/>
      <w:lvlText w:val="%1."/>
      <w:lvlJc w:val="left"/>
      <w:pPr>
        <w:ind w:left="0" w:leftChars="0" w:firstLine="20" w:firstLineChars="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8FF9ED"/>
    <w:multiLevelType w:val="multilevel"/>
    <w:tmpl w:val="6A8FF9ED"/>
    <w:lvl w:ilvl="0" w:tentative="0">
      <w:start w:val="1"/>
      <w:numFmt w:val="decimal"/>
      <w:suff w:val="nothing"/>
      <w:lvlText w:val="%1."/>
      <w:lvlJc w:val="left"/>
      <w:pPr>
        <w:ind w:left="0" w:leftChars="0" w:firstLine="20" w:firstLineChars="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Q2MjU2MzMxMTIyNzIyYTQyZjg1OTZhMmRkYzhlY2QifQ=="/>
  </w:docVars>
  <w:rsids>
    <w:rsidRoot w:val="00EF08F3"/>
    <w:rsid w:val="00222D03"/>
    <w:rsid w:val="002E60F6"/>
    <w:rsid w:val="002F6438"/>
    <w:rsid w:val="004C3350"/>
    <w:rsid w:val="00DA7415"/>
    <w:rsid w:val="00EF08F3"/>
    <w:rsid w:val="02261FB6"/>
    <w:rsid w:val="032A58D6"/>
    <w:rsid w:val="12DB541D"/>
    <w:rsid w:val="156E6271"/>
    <w:rsid w:val="16000EE7"/>
    <w:rsid w:val="16565924"/>
    <w:rsid w:val="183B598C"/>
    <w:rsid w:val="22196184"/>
    <w:rsid w:val="3C670026"/>
    <w:rsid w:val="7351412C"/>
    <w:rsid w:val="74D55484"/>
    <w:rsid w:val="76554072"/>
    <w:rsid w:val="7F055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rPr>
      <w:rFonts w:ascii="Calibri" w:hAnsi="Calibri" w:eastAsia="宋体" w:cs="Times New Roman"/>
      <w:szCs w:val="24"/>
    </w:rPr>
  </w:style>
  <w:style w:type="character" w:customStyle="1" w:styleId="11">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1409</Words>
  <Characters>1427</Characters>
  <Lines>10</Lines>
  <Paragraphs>2</Paragraphs>
  <TotalTime>15</TotalTime>
  <ScaleCrop>false</ScaleCrop>
  <LinksUpToDate>false</LinksUpToDate>
  <CharactersWithSpaces>1429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2024-06-25T04:04:00Z</dcterms:created>
  <dc:creator>Anonymous</dc:creator>
  <cp:lastModifiedBy>秋秋</cp:lastModifiedBy>
  <cp:lastPrinted>2024-10-10T07:55:00Z</cp:lastPrinted>
  <dcterms:modified xsi:type="dcterms:W3CDTF">2024-10-21T07:24:35Z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615CC87C34254502B30AF9FD41A2B64E_12</vt:lpwstr>
  </property>
</Properties>
</file>