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952"/>
        <w:gridCol w:w="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09" w:type="dxa"/>
            <w:gridSpan w:val="3"/>
            <w:tcBorders>
              <w:top w:val="nil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共享轮椅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总体要求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满足临床科室要求，凡涉及设备安装及施工由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负责，按照科室要求提供交钥匙工程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报价时</w:t>
            </w:r>
            <w:r>
              <w:rPr>
                <w:rFonts w:hint="eastAsia" w:ascii="宋体" w:hAnsi="宋体" w:cs="宋体"/>
                <w:sz w:val="20"/>
                <w:szCs w:val="20"/>
              </w:rPr>
              <w:t>要求提供原厂家的检验报告、技术参数表及产品彩页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0"/>
                <w:szCs w:val="20"/>
              </w:rPr>
              <w:t>产品应为国内外知名品牌，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报价时</w:t>
            </w:r>
            <w:r>
              <w:rPr>
                <w:rFonts w:hint="eastAsia" w:ascii="宋体" w:hAnsi="宋体" w:cs="宋体"/>
                <w:sz w:val="20"/>
                <w:szCs w:val="20"/>
              </w:rPr>
              <w:t>提供医疗器械注册证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rPr>
          <w:trHeight w:val="30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提供近三年的销售业绩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服务及技术要求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必须在指定的区域内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放置</w:t>
            </w:r>
            <w:r>
              <w:rPr>
                <w:rFonts w:ascii="宋体" w:hAnsi="宋体" w:cs="宋体"/>
                <w:sz w:val="20"/>
                <w:szCs w:val="20"/>
              </w:rPr>
              <w:t>轮椅，</w:t>
            </w:r>
            <w:r>
              <w:rPr>
                <w:rFonts w:hint="eastAsia" w:ascii="宋体" w:hAnsi="宋体" w:cs="宋体"/>
                <w:sz w:val="20"/>
                <w:szCs w:val="20"/>
              </w:rPr>
              <w:t>首次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放置</w:t>
            </w:r>
            <w:r>
              <w:rPr>
                <w:rFonts w:hint="eastAsia" w:ascii="宋体" w:hAnsi="宋体" w:cs="宋体"/>
                <w:sz w:val="20"/>
                <w:szCs w:val="20"/>
              </w:rPr>
              <w:t>台数</w:t>
            </w:r>
            <w:r>
              <w:rPr>
                <w:rFonts w:ascii="宋体" w:hAnsi="宋体" w:cs="宋体"/>
                <w:sz w:val="20"/>
                <w:szCs w:val="20"/>
              </w:rPr>
              <w:t>至少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22套</w:t>
            </w:r>
            <w:r>
              <w:rPr>
                <w:rFonts w:hint="eastAsia"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门诊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14套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急诊8套</w:t>
            </w:r>
            <w:r>
              <w:rPr>
                <w:rFonts w:hint="eastAsia" w:ascii="宋体" w:hAnsi="宋体" w:cs="宋体"/>
                <w:sz w:val="20"/>
                <w:szCs w:val="20"/>
              </w:rPr>
              <w:t>），具体数量可根据医院需要适当调整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轮椅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印制医院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LOGO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，车轮毂为医院主题颜色：红色。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2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上锁方式：扫描开锁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3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无需安装app，支持支付宝和微信扫描，即可租借轮椅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4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组合方式：可以根据医院需要随时调整或扩充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免押设置：可按照医院要求设置，同时支持微信或支付宝信用免押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6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共享轮椅必须符合国内相关标准及法律规定，并提供原厂合格证明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租借流程</w:t>
            </w:r>
            <w:r>
              <w:rPr>
                <w:rFonts w:hint="eastAsia" w:ascii="宋体" w:hAnsi="宋体" w:cs="宋体"/>
                <w:sz w:val="20"/>
                <w:szCs w:val="20"/>
              </w:rPr>
              <w:t>简单快捷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8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设备租赁收费标准经济</w:t>
            </w:r>
            <w:r>
              <w:rPr>
                <w:rFonts w:ascii="宋体" w:hAnsi="宋体" w:cs="宋体"/>
                <w:sz w:val="20"/>
                <w:szCs w:val="20"/>
              </w:rPr>
              <w:t>实惠</w:t>
            </w:r>
            <w:r>
              <w:rPr>
                <w:rFonts w:hint="eastAsia" w:ascii="宋体" w:hAnsi="宋体" w:cs="宋体"/>
                <w:sz w:val="20"/>
                <w:szCs w:val="20"/>
              </w:rPr>
              <w:t>，超出免费时长，租赁费用需有最高</w:t>
            </w:r>
            <w:r>
              <w:rPr>
                <w:rFonts w:ascii="宋体" w:hAnsi="宋体" w:cs="宋体"/>
                <w:sz w:val="20"/>
                <w:szCs w:val="20"/>
              </w:rPr>
              <w:t>限额</w:t>
            </w:r>
            <w:r>
              <w:rPr>
                <w:rFonts w:hint="eastAsia" w:ascii="宋体" w:hAnsi="宋体" w:cs="宋体"/>
                <w:sz w:val="20"/>
                <w:szCs w:val="20"/>
              </w:rPr>
              <w:t>。如租赁人忘记归还轮椅，由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负责提醒追回并告之甲方备案。在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租赁轮椅</w:t>
            </w:r>
            <w:r>
              <w:rPr>
                <w:rFonts w:hint="eastAsia" w:ascii="宋体" w:hAnsi="宋体" w:cs="宋体"/>
                <w:sz w:val="20"/>
                <w:szCs w:val="20"/>
              </w:rPr>
              <w:t>软件界面，在租赁人开锁租赁前，须提供详细的租赁收费及退还押金规则说明。租赁费用的结算方式：支付宝支付、微信支付</w:t>
            </w:r>
            <w:r>
              <w:rPr>
                <w:rFonts w:ascii="宋体" w:hAnsi="宋体" w:cs="宋体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sz w:val="20"/>
                <w:szCs w:val="20"/>
              </w:rPr>
              <w:t>，提供收费标准及收费方式。租赁费用结算后，应及时退还租赁人押金。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9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设备租赁收费标准符合法律法规的规定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>为了提高共享轮椅的利用率，双方可协商调整免费时长和有偿租赁收费的价格，由双方另行签订补充协议约定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10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应连续投保足以履行其义务和责任的意外保险，确保租赁人在租赁轮椅过程中安全使用，由于轮椅及归位桩引发的任何纠纷或损害，均由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成交供应商方</w:t>
            </w:r>
            <w:r>
              <w:rPr>
                <w:rFonts w:hint="eastAsia" w:ascii="宋体" w:hAnsi="宋体" w:cs="宋体"/>
                <w:sz w:val="20"/>
                <w:szCs w:val="20"/>
              </w:rPr>
              <w:t>负责处理和承担全部责任，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0"/>
                <w:szCs w:val="20"/>
              </w:rPr>
              <w:t>不承担任何责任。如因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成交供应商方</w:t>
            </w:r>
            <w:r>
              <w:rPr>
                <w:rFonts w:hint="eastAsia" w:ascii="宋体" w:hAnsi="宋体" w:cs="宋体"/>
                <w:sz w:val="20"/>
                <w:szCs w:val="20"/>
              </w:rPr>
              <w:t>不及时处理导致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医院方</w:t>
            </w:r>
            <w:r>
              <w:rPr>
                <w:rFonts w:hint="eastAsia" w:ascii="宋体" w:hAnsi="宋体" w:cs="宋体"/>
                <w:sz w:val="20"/>
                <w:szCs w:val="20"/>
              </w:rPr>
              <w:t>对租赁人承担了赔偿责任，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0"/>
                <w:szCs w:val="20"/>
              </w:rPr>
              <w:t>方有权按其实际承担责任的双倍向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方追偿。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11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开通24小时*365天客服电话，如果在租赁人办理轮椅租借过程中，发生需要赴现场处理的纠纷情况的，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方在接到甲方的赴现场通知后，承诺1小时内到达现场。并由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方处理并承担全部责任，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医院方</w:t>
            </w:r>
            <w:r>
              <w:rPr>
                <w:rFonts w:hint="eastAsia" w:ascii="宋体" w:hAnsi="宋体" w:cs="宋体"/>
                <w:sz w:val="20"/>
                <w:szCs w:val="20"/>
              </w:rPr>
              <w:t>不承担任何责任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12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方对</w:t>
            </w:r>
            <w:r>
              <w:rPr>
                <w:rFonts w:ascii="宋体" w:hAnsi="宋体" w:cs="宋体"/>
                <w:sz w:val="20"/>
                <w:szCs w:val="20"/>
              </w:rPr>
              <w:t>投放的共享轮椅及归位桩</w:t>
            </w:r>
            <w:r>
              <w:rPr>
                <w:rFonts w:hint="eastAsia" w:ascii="宋体" w:hAnsi="宋体" w:cs="宋体"/>
                <w:sz w:val="20"/>
                <w:szCs w:val="20"/>
              </w:rPr>
              <w:t>每周</w:t>
            </w:r>
            <w:r>
              <w:rPr>
                <w:rFonts w:ascii="宋体" w:hAnsi="宋体" w:cs="宋体"/>
                <w:sz w:val="20"/>
                <w:szCs w:val="20"/>
              </w:rPr>
              <w:t>进行维护</w:t>
            </w:r>
            <w:r>
              <w:rPr>
                <w:rFonts w:hint="eastAsia" w:ascii="宋体" w:hAnsi="宋体" w:cs="宋体"/>
                <w:sz w:val="20"/>
                <w:szCs w:val="20"/>
              </w:rPr>
              <w:t>、巡检、清洁、消毒、保养等工作</w:t>
            </w:r>
            <w:r>
              <w:rPr>
                <w:rFonts w:ascii="宋体" w:hAnsi="宋体" w:cs="宋体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并指导使用者使用，</w:t>
            </w:r>
            <w:r>
              <w:rPr>
                <w:rFonts w:ascii="宋体" w:hAnsi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cs="宋体"/>
                <w:sz w:val="20"/>
                <w:szCs w:val="20"/>
              </w:rPr>
              <w:t>不处于适用状态</w:t>
            </w:r>
            <w:r>
              <w:rPr>
                <w:rFonts w:ascii="宋体" w:hAnsi="宋体" w:cs="宋体"/>
                <w:sz w:val="20"/>
                <w:szCs w:val="20"/>
              </w:rPr>
              <w:t>的轮椅及归位桩及时</w:t>
            </w:r>
            <w:r>
              <w:rPr>
                <w:rFonts w:hint="eastAsia" w:ascii="宋体" w:hAnsi="宋体" w:cs="宋体"/>
                <w:sz w:val="20"/>
                <w:szCs w:val="20"/>
              </w:rPr>
              <w:t>随时进行</w:t>
            </w:r>
            <w:r>
              <w:rPr>
                <w:rFonts w:ascii="宋体" w:hAnsi="宋体" w:cs="宋体"/>
                <w:sz w:val="20"/>
                <w:szCs w:val="20"/>
              </w:rPr>
              <w:t>维修和更换，</w:t>
            </w:r>
            <w:r>
              <w:rPr>
                <w:rFonts w:hint="eastAsia" w:ascii="宋体" w:hAnsi="宋体" w:cs="宋体"/>
                <w:sz w:val="20"/>
                <w:szCs w:val="20"/>
              </w:rPr>
              <w:t>及时解决疑难问题，确保使用安全，</w:t>
            </w:r>
            <w:r>
              <w:rPr>
                <w:rFonts w:ascii="宋体" w:hAnsi="宋体" w:cs="宋体"/>
                <w:sz w:val="20"/>
                <w:szCs w:val="20"/>
              </w:rPr>
              <w:t>最大程度防止意外事件的发生</w:t>
            </w:r>
            <w:r>
              <w:rPr>
                <w:rFonts w:hint="eastAsia" w:ascii="宋体" w:hAnsi="宋体" w:cs="宋体"/>
                <w:sz w:val="20"/>
                <w:szCs w:val="20"/>
              </w:rPr>
              <w:t>，确保</w:t>
            </w:r>
            <w:r>
              <w:rPr>
                <w:rFonts w:ascii="宋体" w:hAnsi="宋体" w:cs="宋体"/>
                <w:sz w:val="20"/>
                <w:szCs w:val="20"/>
              </w:rPr>
              <w:t>其设备不对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</w:t>
            </w:r>
            <w:r>
              <w:rPr>
                <w:rFonts w:ascii="宋体" w:hAnsi="宋体" w:cs="宋体"/>
                <w:sz w:val="20"/>
                <w:szCs w:val="20"/>
              </w:rPr>
              <w:t>的</w:t>
            </w:r>
            <w:r>
              <w:rPr>
                <w:rFonts w:hint="eastAsia" w:ascii="宋体" w:hAnsi="宋体" w:cs="宋体"/>
                <w:sz w:val="20"/>
                <w:szCs w:val="20"/>
              </w:rPr>
              <w:t>公共</w:t>
            </w:r>
            <w:r>
              <w:rPr>
                <w:rFonts w:ascii="宋体" w:hAnsi="宋体" w:cs="宋体"/>
                <w:sz w:val="20"/>
                <w:szCs w:val="20"/>
              </w:rPr>
              <w:t>秩序造成不良影响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13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方应当提供共享轮椅使用说明，使用说明必须清晰、明确、易于理解。若因使用者使用不当而产生的损失由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方与使用者协商解决，与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0"/>
                <w:szCs w:val="20"/>
              </w:rPr>
              <w:t>无关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14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因产品的质量问题或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管理问题及不可抗力原因（包括但不仅限于产品漏电或产品安装布线不当产生的损害等情形），所产生的一切纠纷和导致使用者和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sz w:val="20"/>
                <w:szCs w:val="20"/>
              </w:rPr>
              <w:t>受到的任何伤害，均由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方承担，并负责所有的经济赔偿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15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仿宋_GB2312" w:eastAsia="微软雅黑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共享轮椅在运行过程中，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方应保证不损害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sz w:val="20"/>
                <w:szCs w:val="20"/>
              </w:rPr>
              <w:t>任何利益，同时软件及平台没有任何其他的广告及违背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sz w:val="20"/>
                <w:szCs w:val="20"/>
              </w:rPr>
              <w:t>要求的做法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16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方负责每周定期检修设备，以保证设备正常使用，出现故障的设备应及时随时进行维修，对于无法维修/无法继续使用的设备提供调换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17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未发生过质量安全事故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宋体" w:hAnsi="宋体" w:eastAsia="微软雅黑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合同生效后，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方应将保险单复印件交给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院方</w:t>
            </w:r>
            <w:r>
              <w:rPr>
                <w:rFonts w:hint="eastAsia" w:ascii="宋体" w:hAnsi="宋体" w:cs="宋体"/>
                <w:sz w:val="20"/>
                <w:szCs w:val="20"/>
              </w:rPr>
              <w:t>备案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19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合同期内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</w:t>
            </w:r>
            <w:r>
              <w:rPr>
                <w:rFonts w:hint="eastAsia" w:ascii="宋体" w:hAnsi="宋体" w:cs="宋体"/>
                <w:sz w:val="20"/>
                <w:szCs w:val="20"/>
              </w:rPr>
              <w:t>方负责处理政府相关部门如物价、工商税务、综合执法等部门就共享轮椅提出的各类问题，承担一切处罚后果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20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遵守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</w:t>
            </w:r>
            <w:r>
              <w:rPr>
                <w:rFonts w:ascii="宋体" w:hAnsi="宋体" w:cs="宋体"/>
                <w:sz w:val="20"/>
                <w:szCs w:val="20"/>
              </w:rPr>
              <w:t>相关规章制度、认同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医院</w:t>
            </w:r>
            <w:r>
              <w:rPr>
                <w:rFonts w:ascii="宋体" w:hAnsi="宋体" w:cs="宋体"/>
                <w:sz w:val="20"/>
                <w:szCs w:val="20"/>
              </w:rPr>
              <w:t>文化，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积极处理并解决投诉</w:t>
            </w:r>
            <w:r>
              <w:rPr>
                <w:rFonts w:hint="eastAsia" w:ascii="宋体" w:hAnsi="宋体" w:cs="宋体"/>
                <w:sz w:val="20"/>
                <w:szCs w:val="20"/>
              </w:rPr>
              <w:t>、接受</w:t>
            </w:r>
            <w:r>
              <w:rPr>
                <w:rFonts w:ascii="宋体" w:hAnsi="宋体" w:cs="宋体"/>
                <w:sz w:val="20"/>
                <w:szCs w:val="20"/>
              </w:rPr>
              <w:t>院内</w:t>
            </w:r>
            <w:r>
              <w:rPr>
                <w:rFonts w:hint="eastAsia" w:ascii="宋体" w:hAnsi="宋体" w:cs="宋体"/>
                <w:sz w:val="20"/>
                <w:szCs w:val="20"/>
              </w:rPr>
              <w:t>院感</w:t>
            </w:r>
            <w:r>
              <w:rPr>
                <w:rFonts w:ascii="宋体" w:hAnsi="宋体" w:cs="宋体"/>
                <w:sz w:val="20"/>
                <w:szCs w:val="20"/>
              </w:rPr>
              <w:t>等相关检查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21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由于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成交供应商方</w:t>
            </w:r>
            <w:r>
              <w:rPr>
                <w:rFonts w:hint="eastAsia" w:ascii="宋体" w:hAnsi="宋体" w:cs="宋体"/>
                <w:sz w:val="20"/>
                <w:szCs w:val="20"/>
              </w:rPr>
              <w:t>的原因导致设备安全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</w:rPr>
              <w:t>安全生产、消防安全等责任事故的，所有损失由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成交供应商方</w:t>
            </w:r>
            <w:r>
              <w:rPr>
                <w:rFonts w:hint="eastAsia" w:ascii="宋体" w:hAnsi="宋体" w:cs="宋体"/>
                <w:sz w:val="20"/>
                <w:szCs w:val="20"/>
              </w:rPr>
              <w:t>承担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22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全力配合医院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因</w:t>
            </w:r>
            <w:r>
              <w:rPr>
                <w:rFonts w:hint="eastAsia" w:ascii="宋体" w:hAnsi="宋体" w:cs="宋体"/>
                <w:sz w:val="20"/>
                <w:szCs w:val="20"/>
              </w:rPr>
              <w:t>各种活动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需要而对共享轮椅的临时调整和相关管理要求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22</w:t>
            </w:r>
          </w:p>
        </w:tc>
        <w:tc>
          <w:tcPr>
            <w:tcW w:w="8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="宋体" w:hAnsi="宋体" w:eastAsia="微软雅黑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共享轮椅安装合理，不影响医院诊疗工作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5D0F2509"/>
    <w:rsid w:val="05CE5343"/>
    <w:rsid w:val="1A903AC8"/>
    <w:rsid w:val="30FC59E1"/>
    <w:rsid w:val="414A61E9"/>
    <w:rsid w:val="52DC142F"/>
    <w:rsid w:val="55863E09"/>
    <w:rsid w:val="5D0F2509"/>
    <w:rsid w:val="5ED370DF"/>
    <w:rsid w:val="67B2709F"/>
    <w:rsid w:val="70826860"/>
    <w:rsid w:val="76907DC5"/>
    <w:rsid w:val="77ED570A"/>
    <w:rsid w:val="78EE3F38"/>
    <w:rsid w:val="7DA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1540</Words>
  <Characters>1565</Characters>
  <Lines>0</Lines>
  <Paragraphs>0</Paragraphs>
  <TotalTime>0</TotalTime>
  <ScaleCrop>false</ScaleCrop>
  <LinksUpToDate>false</LinksUpToDate>
  <CharactersWithSpaces>1566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2023-04-25T09:25:00Z</dcterms:created>
  <dc:creator>Administrator</dc:creator>
  <cp:lastModifiedBy>Administrator</cp:lastModifiedBy>
  <dcterms:modified xsi:type="dcterms:W3CDTF">2023-04-26T10:44:39Z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1AA511B7D85942DABE40E68E8AFE682E_11</vt:lpwstr>
  </property>
</Properties>
</file>